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922020</wp:posOffset>
            </wp:positionH>
            <wp:positionV relativeFrom="paragraph">
              <wp:posOffset>64770</wp:posOffset>
            </wp:positionV>
            <wp:extent cx="3915410" cy="810260"/>
            <wp:effectExtent l="0" t="0" r="8890" b="889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4"/>
                    <a:stretch>
                      <a:fillRect/>
                    </a:stretch>
                  </pic:blipFill>
                  <pic:spPr>
                    <a:xfrm>
                      <a:off x="0" y="0"/>
                      <a:ext cx="3915410" cy="810260"/>
                    </a:xfrm>
                    <a:prstGeom prst="rect">
                      <a:avLst/>
                    </a:prstGeom>
                  </pic:spPr>
                </pic:pic>
              </a:graphicData>
            </a:graphic>
          </wp:anchor>
        </w:drawing>
      </w:r>
    </w:p>
    <w:p/>
    <w:p/>
    <w:p/>
    <w:p/>
    <w:p/>
    <w:p/>
    <w:p>
      <w:r>
        <w:rPr>
          <w:sz w:val="21"/>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163195</wp:posOffset>
                </wp:positionV>
                <wp:extent cx="4156710" cy="1342390"/>
                <wp:effectExtent l="0" t="0" r="0" b="0"/>
                <wp:wrapNone/>
                <wp:docPr id="1" name="文本框 1"/>
                <wp:cNvGraphicFramePr/>
                <a:graphic xmlns:a="http://schemas.openxmlformats.org/drawingml/2006/main">
                  <a:graphicData uri="http://schemas.microsoft.com/office/word/2010/wordprocessingShape">
                    <wps:wsp>
                      <wps:cNvSpPr txBox="1"/>
                      <wps:spPr>
                        <a:xfrm>
                          <a:off x="1875155" y="2781300"/>
                          <a:ext cx="4156710" cy="1342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CN"/>
                              </w:rPr>
                              <w:t>口腔修复工艺专业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8pt;margin-top:12.85pt;height:105.7pt;width:327.3pt;z-index:251660288;mso-width-relative:page;mso-height-relative:page;" filled="f" stroked="f" coordsize="21600,21600" o:gfxdata="UEsFBgAAAAAAAAAAAAAAAAAAAAAAAFBLAwQKAAAAAACHTuJAAAAAAAAAAAAAAAAABAAAAGRycy9Q&#10;SwMEFAAAAAgAh07iQFkkFFLbAAAACgEAAA8AAABkcnMvZG93bnJldi54bWxNj8tOwzAQRfdI/IM1&#10;SOyonVRp2jROhSJVSAgWLd2wm8RuEuFHiN0HfD3DCpZ35ujOmXJztYad9RQG7yQkMwFMu9arwXUS&#10;Dm/bhyWwENEpNN5pCV86wKa6vSmxUP7idvq8jx2jEhcKlNDHOBach7bXFsPMj9rR7ugni5Hi1HE1&#10;4YXKreGpEAtucXB0ocdR171uP/YnK+G53r7irknt8tvUTy/Hx/Hz8J5JeX+XiDWwqK/xD4ZffVKH&#10;ipwaf3IqMEN5ni0IlZBmOTAC8pVIgTU0mOcJ8Krk/1+ofgBQSwMEFAAAAAgAh07iQKaTksRHAgAA&#10;cwQAAA4AAABkcnMvZTJvRG9jLnhtbK1US27bMBDdF+gdCO5rSf7HiBy4MVwUCJoAbtE1TVGRAJLD&#10;krQl9wDtDbrqpvuey+fokJKTIO0ii26oIedxZt6boS6vWiXJQVhXg85pNkgpEZpDUev7nH76uHkz&#10;p8R5pgsmQYucHoWjV8vXry4bsxBDqEAWwhIMot2iMTmtvDeLJHG8Eoq5ARih0VmCVczj1t4nhWUN&#10;RlcyGabpNGnAFsYCF87h6bpz0j6ifUlAKMuaizXwvRLad1GtkMwjJVfVxtFlrLYsBfe3ZemEJzKn&#10;yNTHFZOgvQtrsrxki3vLTFXzvgT2khKecVKs1pj0IdSaeUb2tv4rlKq5BQelH3BQSUckKoIssvSZ&#10;NtuKGRG5oNTOPIju/l9Y/uFwZ0ld4CRQopnChp9+fD/9/H369Y1kQZ7GuAWitgZxvn0LbYD25w4P&#10;A+u2tCp8kQ8J/vlskk0mlBxzOpzNs1HaCy1aTzgCxtlkOsuwBxwR2Wg8HF1ERPIYyljn3wlQJBg5&#10;tdjJKDA73DiP6RF6hoTMGja1lLGbUpMmp9PRJI0XHjx4Q2q8GAh1hQfLt7u2Z7OD4ogkLXRT4gzf&#10;1Jj8hjl/xyyOBRaMD8ff4lJKwCTQW5RUYL/+6zzgsVvopaTBMcup+7JnVlAi32vs40U2Hoe5jJvx&#10;ZDbEjX3q2T316L26Bpxk7BVWF82A9/JslhbUZ3xfq5AVXUxzzJ1TfzavfTf8+D65WK0iCCfRMH+j&#10;t4aH0J2cq72Hso5KB5k6bXr1cBZjA/p3E4b96T6iHv8V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ZJBRS2wAAAAoBAAAPAAAAAAAAAAEAIAAAADgAAABkcnMvZG93bnJldi54bWxQSwECFAAUAAAA&#10;CACHTuJAppOSxEcCAABzBAAADgAAAAAAAAABACAAAABAAQAAZHJzL2Uyb0RvYy54bWxQSwUGAAAA&#10;AAYABgBZAQAA+QUAAAAA&#10;">
                <v:fill on="f" focussize="0,0"/>
                <v:stroke on="f" weight="0.5pt"/>
                <v:imagedata o:title=""/>
                <o:lock v:ext="edit" aspectratio="f"/>
                <v:textbo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CN"/>
                        </w:rPr>
                        <w:t>口腔修复工艺专业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v:textbox>
              </v:shape>
            </w:pict>
          </mc:Fallback>
        </mc:AlternateContent>
      </w:r>
    </w:p>
    <w:p/>
    <w:p/>
    <w:p/>
    <w:p/>
    <w:p/>
    <w:p/>
    <w:p/>
    <w:tbl>
      <w:tblPr>
        <w:tblStyle w:val="4"/>
        <w:tblpPr w:leftFromText="180" w:rightFromText="180" w:vertAnchor="text" w:horzAnchor="page" w:tblpX="1967" w:tblpY="257"/>
        <w:tblOverlap w:val="never"/>
        <w:tblW w:w="85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3018"/>
        <w:gridCol w:w="1516"/>
        <w:gridCol w:w="2434"/>
      </w:tblGrid>
      <w:tr>
        <w:trPr>
          <w:trHeight w:val="598" w:hRule="atLeast"/>
        </w:trPr>
        <w:tc>
          <w:tcPr>
            <w:tcW w:w="1621" w:type="dxa"/>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中职专业</w:t>
            </w:r>
          </w:p>
        </w:tc>
        <w:tc>
          <w:tcPr>
            <w:tcW w:w="3018" w:type="dxa"/>
            <w:noWrap w:val="0"/>
            <w:vAlign w:val="center"/>
          </w:tcPr>
          <w:p>
            <w:pPr>
              <w:spacing w:line="360" w:lineRule="auto"/>
              <w:jc w:val="center"/>
              <w:rPr>
                <w:rFonts w:hint="default" w:ascii="宋体" w:hAnsi="宋体" w:eastAsia="宋体" w:cs="宋体"/>
                <w:color w:val="000000"/>
                <w:sz w:val="21"/>
                <w:szCs w:val="21"/>
                <w:lang w:val="en-US" w:eastAsia="zh-Hans"/>
              </w:rPr>
            </w:pPr>
            <w:r>
              <w:rPr>
                <w:rFonts w:hint="default" w:ascii="宋体" w:hAnsi="宋体" w:eastAsia="宋体" w:cs="宋体"/>
                <w:color w:val="000000"/>
                <w:sz w:val="21"/>
                <w:szCs w:val="21"/>
                <w:lang w:val="en-US" w:eastAsia="zh-Hans"/>
              </w:rPr>
              <w:t>口腔修复工艺</w:t>
            </w:r>
          </w:p>
        </w:tc>
        <w:tc>
          <w:tcPr>
            <w:tcW w:w="1516" w:type="dxa"/>
            <w:noWrap w:val="0"/>
            <w:vAlign w:val="center"/>
          </w:tcPr>
          <w:p>
            <w:pPr>
              <w:ind w:firstLine="174" w:firstLineChars="83"/>
              <w:rPr>
                <w:rFonts w:hint="eastAsia" w:ascii="宋体" w:hAnsi="宋体" w:eastAsia="宋体" w:cs="宋体"/>
                <w:b/>
                <w:color w:val="000000"/>
                <w:sz w:val="21"/>
                <w:szCs w:val="21"/>
              </w:rPr>
            </w:pPr>
            <w:r>
              <w:rPr>
                <w:rFonts w:hint="eastAsia" w:ascii="宋体" w:hAnsi="宋体" w:eastAsia="宋体" w:cs="宋体"/>
                <w:b/>
                <w:color w:val="000000"/>
                <w:sz w:val="21"/>
                <w:szCs w:val="21"/>
              </w:rPr>
              <w:t>专业代码</w:t>
            </w:r>
          </w:p>
        </w:tc>
        <w:tc>
          <w:tcPr>
            <w:tcW w:w="2434" w:type="dxa"/>
            <w:noWrap w:val="0"/>
            <w:vAlign w:val="center"/>
          </w:tcPr>
          <w:p>
            <w:pPr>
              <w:spacing w:line="480" w:lineRule="exact"/>
              <w:ind w:firstLine="420" w:firstLineChars="200"/>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val="en-US" w:eastAsia="zh-CN"/>
              </w:rPr>
              <w:t>720504</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专业建设委员会审核</w:t>
            </w:r>
          </w:p>
        </w:tc>
        <w:tc>
          <w:tcPr>
            <w:tcW w:w="6968" w:type="dxa"/>
            <w:gridSpan w:val="3"/>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校内负责人签字：</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行业、企业负责人签字：</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tc>
        <w:tc>
          <w:tcPr>
            <w:tcW w:w="301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FF0000"/>
                <w:sz w:val="21"/>
                <w:szCs w:val="21"/>
                <w:lang w:val="en-US" w:eastAsia="zh-CN"/>
              </w:rPr>
              <w:t>XXXX</w:t>
            </w:r>
            <w:r>
              <w:rPr>
                <w:rFonts w:hint="eastAsia" w:ascii="宋体" w:hAnsi="宋体" w:eastAsia="宋体" w:cs="宋体"/>
                <w:color w:val="000000"/>
                <w:sz w:val="21"/>
                <w:szCs w:val="21"/>
              </w:rPr>
              <w:t>部</w:t>
            </w:r>
          </w:p>
        </w:tc>
        <w:tc>
          <w:tcPr>
            <w:tcW w:w="1516"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2434" w:type="dxa"/>
            <w:noWrap w:val="0"/>
            <w:vAlign w:val="center"/>
          </w:tcPr>
          <w:p>
            <w:pPr>
              <w:ind w:firstLine="420" w:firstLineChars="200"/>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106680</wp:posOffset>
                  </wp:positionH>
                  <wp:positionV relativeFrom="paragraph">
                    <wp:posOffset>401320</wp:posOffset>
                  </wp:positionV>
                  <wp:extent cx="918210" cy="447040"/>
                  <wp:effectExtent l="0" t="0" r="15240" b="1016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lum contrast="66000"/>
                          </a:blip>
                          <a:stretch>
                            <a:fillRect/>
                          </a:stretch>
                        </pic:blipFill>
                        <pic:spPr>
                          <a:xfrm>
                            <a:off x="0" y="0"/>
                            <a:ext cx="918210" cy="447040"/>
                          </a:xfrm>
                          <a:prstGeom prst="rect">
                            <a:avLst/>
                          </a:prstGeom>
                          <a:noFill/>
                          <a:ln>
                            <a:noFill/>
                          </a:ln>
                        </pic:spPr>
                      </pic:pic>
                    </a:graphicData>
                  </a:graphic>
                </wp:anchor>
              </w:drawing>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教务</w:t>
            </w:r>
            <w:r>
              <w:rPr>
                <w:rFonts w:hint="eastAsia" w:ascii="宋体" w:hAnsi="宋体" w:eastAsia="宋体" w:cs="宋体"/>
                <w:b/>
                <w:color w:val="000000"/>
                <w:sz w:val="21"/>
                <w:szCs w:val="21"/>
                <w:lang w:val="en-US" w:eastAsia="zh-CN"/>
              </w:rPr>
              <w:t>科</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3018" w:type="dxa"/>
            <w:noWrap w:val="0"/>
            <w:vAlign w:val="top"/>
          </w:tcPr>
          <w:p>
            <w:pPr>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427355</wp:posOffset>
                  </wp:positionH>
                  <wp:positionV relativeFrom="paragraph">
                    <wp:posOffset>-142240</wp:posOffset>
                  </wp:positionV>
                  <wp:extent cx="434340" cy="751205"/>
                  <wp:effectExtent l="0" t="0" r="10795" b="381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lum contrast="66000"/>
                          </a:blip>
                          <a:stretch>
                            <a:fillRect/>
                          </a:stretch>
                        </pic:blipFill>
                        <pic:spPr>
                          <a:xfrm rot="-5400000">
                            <a:off x="0" y="0"/>
                            <a:ext cx="434340" cy="75120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994410</wp:posOffset>
                  </wp:positionH>
                  <wp:positionV relativeFrom="paragraph">
                    <wp:posOffset>302260</wp:posOffset>
                  </wp:positionV>
                  <wp:extent cx="1586865" cy="1469390"/>
                  <wp:effectExtent l="0" t="0" r="13335" b="1651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1586865" cy="1469390"/>
                          </a:xfrm>
                          <a:prstGeom prst="rect">
                            <a:avLst/>
                          </a:prstGeom>
                          <a:noFill/>
                          <a:ln>
                            <a:noFill/>
                          </a:ln>
                        </pic:spPr>
                      </pic:pic>
                    </a:graphicData>
                  </a:graphic>
                </wp:anchor>
              </w:drawing>
            </w:r>
          </w:p>
        </w:tc>
        <w:tc>
          <w:tcPr>
            <w:tcW w:w="1516"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分管副校长</w:t>
            </w:r>
          </w:p>
          <w:p>
            <w:pPr>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审核</w:t>
            </w:r>
          </w:p>
        </w:tc>
        <w:tc>
          <w:tcPr>
            <w:tcW w:w="2434" w:type="dxa"/>
            <w:noWrap w:val="0"/>
            <w:vAlign w:val="top"/>
          </w:tcPr>
          <w:p>
            <w:pPr>
              <w:rPr>
                <w:rFonts w:hint="eastAsia" w:ascii="宋体" w:hAnsi="宋体" w:eastAsia="宋体" w:cs="宋体"/>
                <w:color w:val="000000"/>
                <w:sz w:val="21"/>
                <w:szCs w:val="21"/>
              </w:rPr>
            </w:pPr>
          </w:p>
        </w:tc>
      </w:tr>
      <w:tr>
        <w:trPr>
          <w:trHeight w:val="10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校    长</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rPr>
              <w:t>日专题会议审查，同意提交学校党委会审核。</w:t>
            </w:r>
          </w:p>
          <w:p>
            <w:pPr>
              <w:ind w:firstLine="3570" w:firstLineChars="1700"/>
              <w:textAlignment w:val="baseline"/>
              <w:rPr>
                <w:rFonts w:hint="eastAsia" w:ascii="宋体" w:hAnsi="宋体" w:eastAsia="宋体" w:cs="宋体"/>
                <w:b/>
                <w:bCs/>
                <w:color w:val="000000"/>
                <w:sz w:val="21"/>
                <w:szCs w:val="21"/>
              </w:rPr>
            </w:pPr>
            <w:r>
              <w:drawing>
                <wp:anchor distT="0" distB="0" distL="114300" distR="114300" simplePos="0" relativeHeight="251662336" behindDoc="1" locked="0" layoutInCell="1" allowOverlap="1">
                  <wp:simplePos x="0" y="0"/>
                  <wp:positionH relativeFrom="column">
                    <wp:posOffset>2694305</wp:posOffset>
                  </wp:positionH>
                  <wp:positionV relativeFrom="paragraph">
                    <wp:posOffset>7620</wp:posOffset>
                  </wp:positionV>
                  <wp:extent cx="820420" cy="395605"/>
                  <wp:effectExtent l="0" t="0" r="17780" b="44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签字：</w:t>
            </w:r>
          </w:p>
        </w:tc>
      </w:tr>
      <w:tr>
        <w:trPr>
          <w:trHeight w:val="937"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党支部书记</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15</w:t>
            </w:r>
            <w:r>
              <w:rPr>
                <w:rFonts w:hint="eastAsia" w:ascii="宋体" w:hAnsi="宋体" w:eastAsia="宋体" w:cs="宋体"/>
                <w:b/>
                <w:bCs/>
                <w:color w:val="000000"/>
                <w:sz w:val="21"/>
                <w:szCs w:val="21"/>
              </w:rPr>
              <w:t>日院党委会审核通过，同意实施。</w:t>
            </w:r>
          </w:p>
          <w:p>
            <w:pPr>
              <w:textAlignment w:val="baseline"/>
              <w:rPr>
                <w:rFonts w:hint="eastAsia" w:ascii="宋体" w:hAnsi="宋体" w:eastAsia="宋体" w:cs="宋体"/>
                <w:b/>
                <w:bCs/>
                <w:color w:val="000000"/>
                <w:sz w:val="21"/>
                <w:szCs w:val="21"/>
                <w:lang w:val="en-US" w:eastAsia="zh-CN"/>
              </w:rPr>
            </w:pPr>
            <w:r>
              <w:drawing>
                <wp:anchor distT="0" distB="0" distL="114300" distR="114300" simplePos="0" relativeHeight="251663360" behindDoc="1" locked="0" layoutInCell="1" allowOverlap="1">
                  <wp:simplePos x="0" y="0"/>
                  <wp:positionH relativeFrom="column">
                    <wp:posOffset>2716530</wp:posOffset>
                  </wp:positionH>
                  <wp:positionV relativeFrom="paragraph">
                    <wp:posOffset>9525</wp:posOffset>
                  </wp:positionV>
                  <wp:extent cx="820420" cy="395605"/>
                  <wp:effectExtent l="0" t="0" r="17780" b="444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签字：</w:t>
            </w:r>
          </w:p>
        </w:tc>
      </w:tr>
    </w:tbl>
    <w:p/>
    <w:p/>
    <w:p>
      <w:r>
        <w:drawing>
          <wp:anchor distT="0" distB="0" distL="114300" distR="114300" simplePos="0" relativeHeight="251661312" behindDoc="1" locked="0" layoutInCell="1" allowOverlap="1">
            <wp:simplePos x="0" y="0"/>
            <wp:positionH relativeFrom="column">
              <wp:posOffset>2882900</wp:posOffset>
            </wp:positionH>
            <wp:positionV relativeFrom="paragraph">
              <wp:posOffset>191770</wp:posOffset>
            </wp:positionV>
            <wp:extent cx="923290" cy="605155"/>
            <wp:effectExtent l="0" t="0" r="10160" b="444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lum contrast="90000"/>
                    </a:blip>
                    <a:stretch>
                      <a:fillRect/>
                    </a:stretch>
                  </pic:blipFill>
                  <pic:spPr>
                    <a:xfrm>
                      <a:off x="0" y="0"/>
                      <a:ext cx="923290" cy="6051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857250</wp:posOffset>
            </wp:positionH>
            <wp:positionV relativeFrom="paragraph">
              <wp:posOffset>184785</wp:posOffset>
            </wp:positionV>
            <wp:extent cx="887730" cy="487680"/>
            <wp:effectExtent l="0" t="0" r="7620" b="762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lum contrast="72000"/>
                    </a:blip>
                    <a:stretch>
                      <a:fillRect/>
                    </a:stretch>
                  </pic:blipFill>
                  <pic:spPr>
                    <a:xfrm>
                      <a:off x="0" y="0"/>
                      <a:ext cx="887730" cy="487680"/>
                    </a:xfrm>
                    <a:prstGeom prst="rect">
                      <a:avLst/>
                    </a:prstGeom>
                    <a:noFill/>
                    <a:ln>
                      <a:noFill/>
                    </a:ln>
                  </pic:spPr>
                </pic:pic>
              </a:graphicData>
            </a:graphic>
          </wp:anchor>
        </w:drawing>
      </w:r>
    </w:p>
    <w:p>
      <w:r>
        <w:drawing>
          <wp:anchor distT="0" distB="0" distL="114300" distR="114300" simplePos="0" relativeHeight="251661312" behindDoc="1" locked="0" layoutInCell="1" allowOverlap="1">
            <wp:simplePos x="0" y="0"/>
            <wp:positionH relativeFrom="column">
              <wp:posOffset>1879600</wp:posOffset>
            </wp:positionH>
            <wp:positionV relativeFrom="paragraph">
              <wp:posOffset>12700</wp:posOffset>
            </wp:positionV>
            <wp:extent cx="915670" cy="376555"/>
            <wp:effectExtent l="0" t="0" r="17780" b="444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lum contrast="78000"/>
                    </a:blip>
                    <a:stretch>
                      <a:fillRect/>
                    </a:stretch>
                  </pic:blipFill>
                  <pic:spPr>
                    <a:xfrm>
                      <a:off x="0" y="0"/>
                      <a:ext cx="915670" cy="3765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3914140</wp:posOffset>
            </wp:positionH>
            <wp:positionV relativeFrom="paragraph">
              <wp:posOffset>20320</wp:posOffset>
            </wp:positionV>
            <wp:extent cx="633095" cy="419100"/>
            <wp:effectExtent l="0" t="0" r="14605"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lum contrast="90000"/>
                    </a:blip>
                    <a:stretch>
                      <a:fillRect/>
                    </a:stretch>
                  </pic:blipFill>
                  <pic:spPr>
                    <a:xfrm>
                      <a:off x="0" y="0"/>
                      <a:ext cx="633095" cy="419100"/>
                    </a:xfrm>
                    <a:prstGeom prst="rect">
                      <a:avLst/>
                    </a:prstGeom>
                    <a:noFill/>
                    <a:ln>
                      <a:noFill/>
                    </a:ln>
                  </pic:spPr>
                </pic:pic>
              </a:graphicData>
            </a:graphic>
          </wp:anchor>
        </w:drawing>
      </w:r>
    </w:p>
    <w:p>
      <w:pPr>
        <w:rPr>
          <w:rFonts w:hint="default" w:eastAsiaTheme="minorEastAsia"/>
          <w:lang w:val="en-US" w:eastAsia="zh-CN"/>
        </w:rPr>
      </w:pPr>
      <w:r>
        <w:rPr>
          <w:rFonts w:hint="eastAsia"/>
          <w:lang w:val="en-US" w:eastAsia="zh-CN"/>
        </w:rPr>
        <w:t>备选签名：</w:t>
      </w:r>
    </w:p>
    <w:p/>
    <w:p/>
    <w:p/>
    <w:p/>
    <w:p/>
    <w:p>
      <w:pPr>
        <w:spacing w:line="360" w:lineRule="auto"/>
        <w:jc w:val="center"/>
        <w:outlineLvl w:val="0"/>
        <w:rPr>
          <w:rFonts w:hint="eastAsia" w:ascii="黑体" w:hAnsi="黑体" w:eastAsia="黑体" w:cs="黑体"/>
          <w:b/>
          <w:kern w:val="44"/>
          <w:sz w:val="24"/>
          <w:szCs w:val="24"/>
        </w:rPr>
      </w:pPr>
      <w:bookmarkStart w:id="0" w:name="_Toc11146"/>
      <w:r>
        <w:rPr>
          <w:rFonts w:hint="eastAsia" w:ascii="方正公文小标宋" w:hAnsi="方正公文小标宋" w:eastAsia="方正公文小标宋" w:cs="方正公文小标宋"/>
          <w:b w:val="0"/>
          <w:bCs w:val="0"/>
          <w:color w:val="000000"/>
          <w:sz w:val="32"/>
          <w:szCs w:val="32"/>
          <w:lang w:val="en-US" w:eastAsia="zh-CN"/>
        </w:rPr>
        <w:t>口腔修复工艺专业人才培养方案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一、专业名称及代码</w:t>
      </w:r>
      <w:bookmarkEnd w:id="0"/>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楷体" w:cs="仿宋"/>
          <w:color w:val="auto"/>
          <w:sz w:val="24"/>
          <w:szCs w:val="24"/>
          <w:lang w:val="en-US" w:eastAsia="zh-Hans"/>
        </w:rPr>
      </w:pPr>
      <w:r>
        <w:rPr>
          <w:rFonts w:hint="eastAsia" w:ascii="仿宋" w:hAnsi="仿宋" w:eastAsia="仿宋" w:cs="仿宋"/>
          <w:color w:val="000000"/>
          <w:sz w:val="24"/>
          <w:szCs w:val="24"/>
        </w:rPr>
        <w:t xml:space="preserve">   （</w:t>
      </w:r>
      <w:r>
        <w:rPr>
          <w:rFonts w:hint="eastAsia" w:ascii="楷体" w:hAnsi="楷体" w:eastAsia="楷体" w:cs="楷体"/>
          <w:color w:val="000000"/>
          <w:sz w:val="24"/>
          <w:szCs w:val="24"/>
        </w:rPr>
        <w:t>一）专业名称：</w:t>
      </w:r>
      <w:r>
        <w:rPr>
          <w:rFonts w:hint="eastAsia" w:ascii="楷体" w:hAnsi="楷体" w:eastAsia="楷体" w:cs="楷体"/>
          <w:color w:val="000000"/>
          <w:sz w:val="24"/>
          <w:szCs w:val="24"/>
          <w:lang w:val="en-US" w:eastAsia="zh-CN"/>
        </w:rPr>
        <w:t>口腔修复工艺</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default"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楷体" w:hAnsi="楷体" w:eastAsia="楷体" w:cs="楷体"/>
          <w:color w:val="auto"/>
          <w:sz w:val="24"/>
          <w:szCs w:val="24"/>
        </w:rPr>
        <w:t>（二）专业代码：</w:t>
      </w:r>
      <w:bookmarkStart w:id="1" w:name="_Toc18388"/>
      <w:bookmarkStart w:id="2" w:name="_Toc21474"/>
      <w:r>
        <w:rPr>
          <w:rFonts w:hint="eastAsia" w:ascii="楷体" w:hAnsi="楷体" w:eastAsia="楷体" w:cs="楷体"/>
          <w:color w:val="auto"/>
          <w:sz w:val="24"/>
          <w:szCs w:val="24"/>
          <w:lang w:val="en-US" w:eastAsia="zh-CN"/>
        </w:rPr>
        <w:t>720504</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color w:val="auto"/>
          <w:kern w:val="44"/>
          <w:sz w:val="24"/>
          <w:szCs w:val="24"/>
          <w:lang w:val="en-US" w:eastAsia="zh-CN" w:bidi="ar-SA"/>
        </w:rPr>
      </w:pPr>
      <w:r>
        <w:rPr>
          <w:rFonts w:hint="eastAsia" w:ascii="黑体" w:hAnsi="黑体" w:eastAsia="黑体" w:cs="黑体"/>
          <w:b w:val="0"/>
          <w:bCs/>
          <w:color w:val="auto"/>
          <w:kern w:val="44"/>
          <w:sz w:val="24"/>
          <w:szCs w:val="24"/>
          <w:lang w:val="en-US" w:eastAsia="zh-CN" w:bidi="ar-SA"/>
        </w:rPr>
        <w:t>二、入学要求</w:t>
      </w:r>
      <w:bookmarkEnd w:id="1"/>
      <w:bookmarkEnd w:id="2"/>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rPr>
        <w:t>初中毕业生或具有同等学</w:t>
      </w:r>
      <w:r>
        <w:rPr>
          <w:rFonts w:hint="eastAsia" w:ascii="仿宋" w:hAnsi="仿宋" w:eastAsia="仿宋" w:cs="仿宋"/>
          <w:color w:val="auto"/>
          <w:sz w:val="24"/>
          <w:szCs w:val="24"/>
          <w:lang w:val="en-US" w:eastAsia="zh-CN"/>
        </w:rPr>
        <w:t>力</w:t>
      </w:r>
      <w:r>
        <w:rPr>
          <w:rFonts w:hint="eastAsia" w:ascii="仿宋" w:hAnsi="仿宋" w:eastAsia="仿宋" w:cs="仿宋"/>
          <w:color w:val="auto"/>
          <w:sz w:val="24"/>
          <w:szCs w:val="24"/>
        </w:rPr>
        <w:t>者</w:t>
      </w:r>
      <w:bookmarkStart w:id="3" w:name="_Toc9100"/>
      <w:bookmarkStart w:id="4" w:name="_Toc32145"/>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三、修业年限</w:t>
      </w:r>
      <w:bookmarkEnd w:id="3"/>
      <w:bookmarkEnd w:id="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三年（2</w:t>
      </w:r>
      <w:r>
        <w:rPr>
          <w:rFonts w:hint="eastAsia" w:ascii="仿宋" w:hAnsi="仿宋" w:eastAsia="仿宋" w:cs="仿宋"/>
          <w:sz w:val="24"/>
          <w:szCs w:val="24"/>
          <w:lang w:val="en-US" w:eastAsia="zh-CN"/>
        </w:rPr>
        <w:t>.</w:t>
      </w:r>
      <w:r>
        <w:rPr>
          <w:rFonts w:hint="eastAsia" w:ascii="仿宋" w:hAnsi="仿宋" w:eastAsia="仿宋" w:cs="仿宋"/>
          <w:sz w:val="24"/>
          <w:szCs w:val="24"/>
        </w:rPr>
        <w:t>5+0.5）</w:t>
      </w:r>
      <w:bookmarkStart w:id="5" w:name="_Toc26692"/>
      <w:bookmarkStart w:id="6" w:name="_Toc19409"/>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职业面向</w:t>
      </w:r>
      <w:bookmarkEnd w:id="5"/>
      <w:bookmarkEnd w:id="6"/>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rightChars="0" w:firstLine="480" w:firstLineChars="200"/>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就业</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3213"/>
        <w:gridCol w:w="3213"/>
      </w:tblGrid>
      <w:tr>
        <w:trPr>
          <w:trHeight w:val="464" w:hRule="atLeast"/>
          <w:jc w:val="center"/>
        </w:trPr>
        <w:tc>
          <w:tcPr>
            <w:tcW w:w="32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对应职业（岗位）</w:t>
            </w:r>
          </w:p>
        </w:tc>
        <w:tc>
          <w:tcPr>
            <w:tcW w:w="32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职业资格证书举例</w:t>
            </w:r>
          </w:p>
        </w:tc>
        <w:tc>
          <w:tcPr>
            <w:tcW w:w="32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专业（技能）方向</w:t>
            </w:r>
          </w:p>
        </w:tc>
      </w:tr>
      <w:tr>
        <w:trPr>
          <w:jc w:val="center"/>
        </w:trPr>
        <w:tc>
          <w:tcPr>
            <w:tcW w:w="32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口腔医学技士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义齿成型制作工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义齿模具工</w:t>
            </w:r>
          </w:p>
        </w:tc>
        <w:tc>
          <w:tcPr>
            <w:tcW w:w="32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口腔医学技工、口腔修复工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义齿成型制作工、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义齿模具工</w:t>
            </w:r>
          </w:p>
        </w:tc>
        <w:tc>
          <w:tcPr>
            <w:tcW w:w="32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（二）升学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default" w:ascii="仿宋" w:hAnsi="仿宋" w:eastAsia="仿宋" w:cs="仿宋"/>
          <w:b w:val="0"/>
          <w:bCs/>
          <w:kern w:val="44"/>
          <w:sz w:val="24"/>
          <w:szCs w:val="24"/>
          <w:lang w:val="en-US" w:eastAsia="zh-CN" w:bidi="ar-SA"/>
        </w:rPr>
      </w:pPr>
      <w:r>
        <w:rPr>
          <w:rFonts w:hint="eastAsia" w:ascii="仿宋" w:hAnsi="仿宋" w:eastAsia="仿宋" w:cs="仿宋"/>
          <w:b w:val="0"/>
          <w:bCs/>
          <w:kern w:val="44"/>
          <w:sz w:val="24"/>
          <w:szCs w:val="24"/>
          <w:lang w:val="en-US" w:eastAsia="zh-CN" w:bidi="ar-SA"/>
        </w:rPr>
        <w:t>高等院校相关专业</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Cs/>
          <w:sz w:val="24"/>
          <w:szCs w:val="24"/>
          <w:lang w:eastAsia="zh-CN"/>
        </w:rPr>
      </w:pPr>
      <w:bookmarkStart w:id="7" w:name="_Toc14640"/>
      <w:bookmarkStart w:id="8" w:name="_Toc7518"/>
      <w:r>
        <w:rPr>
          <w:rFonts w:hint="eastAsia" w:ascii="黑体" w:hAnsi="黑体" w:eastAsia="黑体" w:cs="黑体"/>
          <w:bCs/>
          <w:sz w:val="24"/>
          <w:szCs w:val="24"/>
          <w:lang w:val="en-US" w:eastAsia="zh-CN"/>
        </w:rPr>
        <w:t>五、</w:t>
      </w:r>
      <w:r>
        <w:rPr>
          <w:rFonts w:hint="eastAsia" w:ascii="黑体" w:hAnsi="黑体" w:eastAsia="黑体" w:cs="黑体"/>
          <w:bCs/>
          <w:sz w:val="24"/>
          <w:szCs w:val="24"/>
          <w:lang w:eastAsia="zh-CN"/>
        </w:rPr>
        <w:t>培养目标与培养规格</w:t>
      </w:r>
    </w:p>
    <w:bookmarkEnd w:id="7"/>
    <w:bookmarkEnd w:id="8"/>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175"/>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一</w:t>
      </w: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培养目标</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bookmarkStart w:id="9" w:name="_Toc23069"/>
      <w:bookmarkStart w:id="10" w:name="_Toc31788"/>
      <w:bookmarkStart w:id="11" w:name="_Toc1486"/>
      <w:bookmarkStart w:id="12" w:name="_Toc28186"/>
      <w:bookmarkStart w:id="13" w:name="_Toc364432415"/>
      <w:r>
        <w:rPr>
          <w:rFonts w:hint="eastAsia" w:ascii="仿宋" w:hAnsi="仿宋" w:eastAsia="仿宋" w:cs="仿宋"/>
          <w:color w:val="auto"/>
          <w:sz w:val="24"/>
          <w:szCs w:val="24"/>
          <w:lang w:val="en-US" w:eastAsia="zh-CN"/>
        </w:rPr>
        <w:t>本专业坚持立德树人，面向医疗卫生机构口腔科、口腔专科医院（门诊）、义齿加工机构、口腔医疗设备与材料销售企业等，培养从事义齿修复、加工及矫治器制作、相关产品销售与管理等工作，德智体美全面发展的高素质劳动者和技能型人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textAlignment w:val="auto"/>
        <w:rPr>
          <w:rFonts w:hint="eastAsia" w:ascii="楷体" w:hAnsi="楷体" w:eastAsia="楷体" w:cs="楷体"/>
          <w:b/>
          <w:bCs w:val="0"/>
          <w:sz w:val="24"/>
          <w:szCs w:val="24"/>
          <w:lang w:eastAsia="zh-CN"/>
        </w:rPr>
      </w:pP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二</w:t>
      </w:r>
      <w:r>
        <w:rPr>
          <w:rFonts w:hint="eastAsia" w:ascii="楷体" w:hAnsi="楷体" w:eastAsia="楷体" w:cs="楷体"/>
          <w:b/>
          <w:bCs w:val="0"/>
          <w:sz w:val="24"/>
          <w:szCs w:val="24"/>
          <w:lang w:eastAsia="zh-CN"/>
        </w:rPr>
        <w:t>）培养规格</w:t>
      </w:r>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本专业毕业生应具有以下职业素养、职业能力：</w:t>
      </w:r>
    </w:p>
    <w:bookmarkEnd w:id="11"/>
    <w:bookmarkEnd w:id="12"/>
    <w:bookmarkEnd w:id="13"/>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思想</w:t>
      </w:r>
      <w:r>
        <w:rPr>
          <w:rFonts w:hint="eastAsia" w:ascii="仿宋" w:hAnsi="仿宋" w:eastAsia="仿宋" w:cs="仿宋"/>
          <w:b/>
          <w:bCs/>
          <w:color w:val="auto"/>
          <w:sz w:val="24"/>
          <w:szCs w:val="24"/>
        </w:rPr>
        <w:t>素质</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1.具有良好的职业道德，能</w:t>
      </w:r>
      <w:r>
        <w:rPr>
          <w:rFonts w:hint="eastAsia" w:ascii="仿宋" w:hAnsi="仿宋" w:eastAsia="仿宋" w:cs="仿宋"/>
          <w:b w:val="0"/>
          <w:bCs w:val="0"/>
          <w:color w:val="auto"/>
          <w:sz w:val="24"/>
          <w:szCs w:val="24"/>
          <w:lang w:val="en-US" w:eastAsia="zh-CN"/>
        </w:rPr>
        <w:t>自觉遵守法律法规和企事业单位规章制度，具有医学伦理观念。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2.具有较强的团队意识，能与口腔修复医师和同行进行专业交流、协作；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3.具有较强的专业服务意识和质量意识，能与服务对象进行有效沟通；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4.具有良好的心理素质，熟悉企业文化与管理，能较好地适应不同类型口腔修复机构的工作。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5.具有安全意识、环保意识。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知识</w:t>
      </w:r>
      <w:r>
        <w:rPr>
          <w:rFonts w:hint="eastAsia" w:ascii="仿宋" w:hAnsi="仿宋" w:eastAsia="仿宋" w:cs="仿宋"/>
          <w:b/>
          <w:bCs/>
          <w:color w:val="auto"/>
          <w:sz w:val="24"/>
          <w:szCs w:val="24"/>
          <w:lang w:val="en-US" w:eastAsia="zh-CN"/>
        </w:rPr>
        <w:t>与能力</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1．掌握口腔修复工艺技术知识及相关的口腔医学知识，能进行口腔修复体制作，并解决一般性技术问题，完成口腔修复体制作的综合性任务</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2．掌握口腔修复体制作所需要的材料学知识，具有口腔工艺材料选择与应用的能力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3．熟悉口腔工艺设备知识，具有正确使用口腔工艺设备和器械的能力，并能进行简单养护与常见故障的排除</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4．具有一定的美学素养，具有从事口腔修复工艺技术工作的审美能力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5．掌握口腔修复工艺所需的雕刻与色彩学基础知识，具有初步美术雕刻与色彩表现能力，能制作满足服务对象审美要求的口腔修复体</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6．熟悉口腔疾病的预防保健知识，具有开展口腔常见病、多发病预防保健和健康教育的能力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7．具有口腔各类矫治器制作的基本理论知识和能力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8．初步具有口腔修复体及相关产品销售与售后服务的能力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9．初步具有口腔修复产品质量检验和管理的能力。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楷体" w:hAnsi="楷体" w:eastAsia="楷体" w:cs="楷体"/>
          <w:color w:val="auto"/>
          <w:sz w:val="24"/>
          <w:szCs w:val="24"/>
          <w:lang w:val="en-US" w:eastAsia="zh-CN"/>
        </w:rPr>
      </w:pPr>
      <w:r>
        <w:rPr>
          <w:rFonts w:hint="eastAsia" w:ascii="黑体" w:hAnsi="黑体" w:eastAsia="黑体" w:cs="黑体"/>
          <w:color w:val="auto"/>
          <w:sz w:val="24"/>
          <w:szCs w:val="24"/>
          <w:lang w:val="en-US" w:eastAsia="zh-CN"/>
        </w:rPr>
        <w:t>六、课程设置及要求</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本专业课程设置分为公共基础课和专业技能。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公共基础课程包括德育课、文化课、体育与健康、公共艺术、历史，以及其他自然科学和人文科学类基础课。</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专业技能课包括核心专业课和专业选修课，实训实习是专业技能课教学的重要内容，含校内外实训、毕业实习等多种教学形式。</w:t>
      </w:r>
    </w:p>
    <w:p>
      <w:pPr>
        <w:overflowPunct w:val="0"/>
        <w:adjustRightInd w:val="0"/>
        <w:ind w:firstLine="480" w:firstLineChars="200"/>
        <w:outlineLvl w:val="0"/>
        <w:rPr>
          <w:rFonts w:eastAsia="楷体_GB2312"/>
          <w:b/>
          <w:sz w:val="24"/>
          <w:szCs w:val="24"/>
        </w:rPr>
      </w:pPr>
      <w:r>
        <w:rPr>
          <w:rFonts w:eastAsia="楷体_GB2312"/>
          <w:b/>
          <w:sz w:val="24"/>
          <w:szCs w:val="24"/>
        </w:rPr>
        <w:t>（一）公共基础课程</w:t>
      </w:r>
    </w:p>
    <w:tbl>
      <w:tblPr>
        <w:tblStyle w:val="4"/>
        <w:tblW w:w="951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76"/>
        <w:gridCol w:w="3077"/>
        <w:gridCol w:w="3807"/>
        <w:gridCol w:w="705"/>
      </w:tblGrid>
      <w:tr>
        <w:trPr>
          <w:trHeight w:val="447" w:hRule="atLeast"/>
        </w:trPr>
        <w:tc>
          <w:tcPr>
            <w:tcW w:w="645"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276"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077"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07"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70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p>
        </w:tc>
        <w:tc>
          <w:tcPr>
            <w:tcW w:w="1276"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习近平新时代中国特色社会主义思想学生读本</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80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帮助学生了解中国特色社会主义的创立、发展和完善，理解开辟中国特色社会主义道路的伟大意义；了解社会主义基本经济制度及其优越性；明白中国特色社会主义最本质的特征和中国特色社会主义制度的最大优势是中国共产党领导，理解我国政治制度的优越性，理解坚持党的领导、人民当家作主、依法治国有机统一是社会主义政治发展的必然要求；了解中国特色社会主义文化，增强文化自信；了解中国特色社会主义社会建设与生态文明建设。教学实践中，注意激发学生学习兴趣，注重探讨式和体验性学习，注重多样化考核评价。</w:t>
            </w:r>
          </w:p>
        </w:tc>
        <w:tc>
          <w:tcPr>
            <w:tcW w:w="705" w:type="dxa"/>
            <w:noWrap w:val="0"/>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心理健康</w:t>
            </w:r>
          </w:p>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与职业生</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涯规划</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使学生了解心理健康、职业生涯的基本知识，树立心理健康意识，掌握心理调适方法，养成自立自强、敬业乐群的心理品质和自尊自信、理性平和、积极向上的良好心态，提高应对挫折与适应社会的能力；使学生掌握制订和执行职业生涯规划的方法，提升职业素养，为顺利就业创业创造条件。</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理解社会发展是实现人生梦想的客观环境，理解职业生涯规划的重要性；学会客观的自我认识，认识理想与现实的差异性，掌握青春期的性心理知识，养成健康向上的生活方式；了解所学专业对应的职业群及演变趋势，立足专业谋划发展；学会和谐交往、快乐生活；端正学习态度，学会时间管理，树立终身学习意识；了解调整职业生涯规划的必要性，把握职业生涯规划调整的时机，持续完善职业生涯规划，放飞理想，人生出彩。</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教学中，注意激发学生学习兴趣，可开展角色扮演、社会调查、人物访谈等活动，可选取典型案例开展座谈、讨论等，实行探讨式和体验性学习。注重多样化考核评价。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276"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哲学与人生</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了解马克思主义哲学是科学的世界观和方法论；理解世界统一于物质的原理，懂得客观规律性和主观能动性的辩证关系；懂得世界是普遍联系和永恒发展的，学会用联系和发展的观点分析问题；理解认识与实践的辩证关系，坚持理论联系实际，做到知行合一；认识社会存在与社会意识的辩证关系，明确人民群众是历史的创造者，理解个人价值与社会价值的关系。</w:t>
            </w:r>
          </w:p>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教学中，遵循思想政治教育规律和学生身心发展规律，注意激发学生学习兴趣，可采用案例分析、讨论等方法，注重探讨式和案例式教学，注重多样化考核评价。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276"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职业道德与法治</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本部分内容的学习，学生能修理解全面依法治国的总目标，了解我国新时代加强公民道德建设、践行职业道德的主要内容及其重要意义；能够掌握加强职业道德修养的主要方法，初步具备依法维权和有序参与公共事务的能力；能够根据社会发展需要、结舍自身实际，以道德和法律的要求规范自己的言行，做恪守道德规茏、尊法学法守法用法的好公民。</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掌握道德有法的关系，道德特点和作用，体认中华民族优良道德传统，坚持社会主义道德观，社会公德、家庭美德、个人品德的主要内容；理解职业道德的主要内容和意义，理解职业道德</w:t>
            </w:r>
            <w:r>
              <w:rPr>
                <w:rFonts w:hint="eastAsia" w:ascii="仿宋" w:hAnsi="仿宋" w:eastAsia="仿宋" w:cs="仿宋"/>
                <w:color w:val="000000"/>
                <w:spacing w:val="0"/>
                <w:w w:val="100"/>
                <w:position w:val="0"/>
                <w:sz w:val="18"/>
                <w:szCs w:val="18"/>
              </w:rPr>
              <w:t>3</w:t>
            </w:r>
            <w:r>
              <w:rPr>
                <w:rFonts w:hint="eastAsia" w:ascii="仿宋" w:hAnsi="仿宋" w:eastAsia="仿宋" w:cs="仿宋"/>
                <w:color w:val="000000"/>
                <w:spacing w:val="0"/>
                <w:w w:val="100"/>
                <w:position w:val="0"/>
              </w:rPr>
              <w:t>抿进社会发展和个人岗位成才的必要性；劳动精神、劳模精神的内涵，理解新时代弘扬劳动精神、劳模精神的意义；认识职业礼仪対职业道德行为养成的作用；掌握加强职业道需修养的基本方法；懂得法治的科学内涵,了解中国特色社会主义法律体系构成，建殳法治中国是坚持和发展中国特色社会主义内在要求；禿法的地位，实行禿制的意义，公民基本权利与基本义务的关系；対民法、刑法、民事诉讼法等有基本知识。</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教学中</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lang w:val="zh-CN" w:eastAsia="zh-CN" w:bidi="zh-CN"/>
              </w:rPr>
              <w:t>嘶思</w:t>
            </w:r>
            <w:r>
              <w:rPr>
                <w:rFonts w:hint="eastAsia" w:ascii="仿宋" w:hAnsi="仿宋" w:eastAsia="仿宋" w:cs="仿宋"/>
                <w:color w:val="000000"/>
                <w:spacing w:val="0"/>
                <w:w w:val="100"/>
                <w:position w:val="0"/>
              </w:rPr>
              <w:t>想政治教育规律和学生身心发展规律，激发学生学习兴趣，注重探讨式和体雖性学习，注重多样化考核评价。</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280" w:rightChars="0" w:firstLine="0" w:firstLineChars="0"/>
              <w:jc w:val="right"/>
              <w:rPr>
                <w:rFonts w:hint="eastAsia" w:ascii="仿宋" w:hAnsi="仿宋" w:eastAsia="仿宋" w:cs="仿宋"/>
                <w:color w:val="000000"/>
                <w:sz w:val="21"/>
                <w:szCs w:val="21"/>
              </w:rPr>
            </w:pPr>
            <w:r>
              <w:rPr>
                <w:rFonts w:hint="eastAsia" w:ascii="仿宋" w:hAnsi="仿宋" w:eastAsia="仿宋" w:cs="仿宋"/>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劳动教育</w:t>
            </w:r>
          </w:p>
        </w:tc>
        <w:tc>
          <w:tcPr>
            <w:tcW w:w="3077" w:type="dxa"/>
            <w:noWrap w:val="0"/>
            <w:vAlign w:val="center"/>
          </w:tcPr>
          <w:p>
            <w:pPr>
              <w:spacing w:line="240" w:lineRule="auto"/>
              <w:ind w:firstLine="210" w:firstLineChars="1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帮助学生掌握马克思主义劳动价值论，深刻理解劳动精神、劳模精神、工匠精神的价值，了解参加校园劳动、家庭劳动的意义，了解掌握职业技能的意义，积极参加劳动锻炼。在教学实践中，注意激发学生学习兴趣，注重案例分析、课堂讨论，积极开展实习实训、专业服务、社会实践、勤工助学等，强化实践性和体验性学习，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语文</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学生通过阅读与欣赏、表达与交流及语文综合实践等活动，提升语言认知与积累、表达与交流，具备适应学习与生活需要的语言文字运用能力，养成自主学习和规范运用语言文字的良好习惯，进一步提高口语交际和文字写作素养。</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通过语感与语言习得、中外文学作品选读、实用性阅读与交流；古代诗文选读、中国革命传统作品选读、劳模精神工匠精神作品研读、职场应用写作与交流等。掌握日常生活和职业岗位要求的现代文阅读能力、写作能力、口语交际能力,具有初步的文学作品欣赏能力和浅易文言文阅读能力。</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7</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数学</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让学生掌握必要的数学知识、数学技能、数学方法，培养学生在学习和工作中运用数学知识和经验发现问题的意识、运用数学的思维方式和解决问题的能力，培养学生具备一定的科学精神和工匠精神，养成良好的道德品质，增强创新意识。</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本课程主要教学内容：集合、不等式、函数、指数函数与对数函数、三角函数、数列、直线与圆的方程等。要求以学生为中心，使用信息化手段提高教学效果，过程性评价不低于60%。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234</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8</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英语</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掌握基础模块和职业模块的知识，能听懂简单的职业英语对话，并进行简单的交流。能正确理解简短的职场中不同类型英语文章。提高学生的跨文化意识，开阔视野，激发学生学习英语的兴趣和热情。</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中职英语词汇、听力、口语、阅读、语法、写作等。教学要求：注重学生听说读写能力的培养，通过创设教学情境增加学生在课内外利用英语进行口语、书面交流锻炼的机会，促进学生自主学习能力、综合文化素养的提升。</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9</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体育与健康</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学生能够了解体育运动相关的概念，掌握科学锻炼方法及运动损伤的急救处理方法。熟练掌握一至两项体育运动技能，提升学生的运动速度、力量、耐力、柔韧和灵敏等身体素质。激发学生的运动兴趣，增强自信心、意志力和自控力，培养学生团结合作的优良品质和良好的人际交往能力，为终身体育打下坚实基础。同时使学生在运动能力、健康行为和体育精神三方面获得发展。</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本课程主要教学内容：1基础模块：基础素质训练（一般体能、专项体能、职业体能、健康教育）。2拓展模块：田径、健身操、武术、羽毛球、乒乓球、足球、篮球、气排球等运动项目</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本课程教学要求：通过身体素质练习，专项训练，游戏练习，体质测量，教学比赛，对抗训练等方式进一步提高运动技能，形成良好的运动习惯和心理品质。引领学生逐步形成正确的世界观、人生观和社会主义核心价值观。</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180</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课程要落实立德树人根本任务，通过理论知识学习、基础技能训练和综合应用实践，全面提升学生的信息素养和信息化职业能力。帮助学生理解信息技术、信息社会，了解信息技术相关知识，认识信息技术对当今人类生产生活的重要作用，理解信息社会特征，遵循信息社会规范，掌握信息技术在生产、生活和学习情境中的相关应用技能，具备综合运用信息技术和所学专业知识解决职业岗位情境中具体业务问题的信息化职业能力，在数字化学习与创新过程中培养学生独立思考和主动探究的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教学内容：结合所学专业知识，围绕职业岗位情境中具体业务问题，使学生了解信息技术设备与系统操作、办公软件与设备使用、程序设计、网络应用、图文编辑、数据处理、数字媒体技术应用、信息安全防护和人工智能应用等方面的知识，掌握信息获取、加工、分析、存储、信息安全、网络安全等知识与技能。要求：课堂教学理实一体化，通过设置与专业岗位相关的职业情境，采用任务驱动等教学方法，使学生达到预期教学效果。实践比例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1</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历史</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以唯物史观为指导，帮助学生进一步了解人类社会形态发展的基本脉络、基本规律和优秀文化成果；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在“中国历史”模块教学中，帮助学生了解史前史、先秦史、秦汉史、三国两晋南北朝史、隋唐宋元明清史，掌握历史发展的线索和脉络，铸牢中华民族共同体意识；帮助学生了解晚清时期的内忧外患与救亡图存、辛亥革命、中国共产党领导的新民主主义革命的历史，充分认识“只有共产党能够救中国”；帮助学生了解社会主义革命和建设的初步探索、改革开放、中国特色社会主义进入新时代的历史。在“世界历史”模块教学中，帮助学生了解多样的文明古国、资本主义的兴起、工业革命、马克思主义的诞生与传播、第一次世界大战和俄国十月革命、苏联的社会主义建设第二次世界大战、两极格局下的世界、冷战结束后的世界。在教学实践中，注意将唯物史观、家国情怀等历史学科核心素养的培养融入教学过程；通过创设历史情境等丰富多彩的活动，引领学生对历史问题进行探究；善于挖掘中国历史上与中职学生专业学习密切相关的重要内容，提高历史教学的针对性和适切性；注重探讨式及其他形式的教学，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72</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2</w:t>
            </w:r>
          </w:p>
        </w:tc>
        <w:tc>
          <w:tcPr>
            <w:tcW w:w="1276" w:type="dxa"/>
            <w:noWrap w:val="0"/>
            <w:vAlign w:val="center"/>
          </w:tcPr>
          <w:p>
            <w:pPr>
              <w:spacing w:line="240" w:lineRule="auto"/>
              <w:jc w:val="both"/>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创新创业教育</w:t>
            </w:r>
          </w:p>
        </w:tc>
        <w:tc>
          <w:tcPr>
            <w:tcW w:w="3077" w:type="dxa"/>
            <w:noWrap w:val="0"/>
            <w:vAlign w:val="center"/>
          </w:tcPr>
          <w:p>
            <w:pPr>
              <w:spacing w:line="240" w:lineRule="auto"/>
              <w:ind w:firstLine="420" w:firstLineChars="200"/>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通过本课程的学习，使学生</w:t>
            </w:r>
            <w:r>
              <w:rPr>
                <w:rFonts w:hint="eastAsia" w:ascii="仿宋" w:hAnsi="仿宋" w:eastAsia="仿宋" w:cs="仿宋"/>
                <w:color w:val="000000"/>
                <w:sz w:val="21"/>
                <w:szCs w:val="21"/>
                <w:lang w:val="en-US" w:eastAsia="zh-CN"/>
              </w:rPr>
              <w:t>具备创新精神和创业意识、能力。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的概念含义；2.</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对于人类和区域经济发展的意义；3.</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的实践活动；4.</w:t>
            </w:r>
            <w:r>
              <w:rPr>
                <w:rFonts w:hint="eastAsia" w:ascii="仿宋" w:hAnsi="仿宋" w:eastAsia="仿宋" w:cs="仿宋"/>
                <w:color w:val="000000"/>
                <w:sz w:val="21"/>
                <w:szCs w:val="21"/>
                <w:lang w:val="en-US" w:eastAsia="zh-CN"/>
              </w:rPr>
              <w:t>创新创业的政策宣讲</w:t>
            </w:r>
            <w:r>
              <w:rPr>
                <w:rFonts w:hint="eastAsia" w:ascii="仿宋" w:hAnsi="仿宋" w:eastAsia="仿宋" w:cs="仿宋"/>
                <w:color w:val="000000"/>
                <w:sz w:val="21"/>
                <w:szCs w:val="21"/>
              </w:rPr>
              <w:t>。本课程要求：采用网课、专题讲座、社会实践等方式结合的课程形式，其中网课10学时，专题讲座2学时，社会实践活动4学时。</w:t>
            </w:r>
          </w:p>
        </w:tc>
        <w:tc>
          <w:tcPr>
            <w:tcW w:w="705"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职业礼仪</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以职业素养为本位，通过课堂教学和社会实践等多种形式，使学生懂导避守礼仪规范的重要性，掌握一般的社交礼仪规范。有意识地提高自己在礼仪方面的素质和能力，为今后的职业生涯打下良好的基础。培养学生哩解、宽容、谦逊、诫恳的待人态度，有人为善、庄重大方、谈吐文雅、讲究礼貌的行为举止。培养学生的集依主义意识，集体主义荣辱观，将个人形象与集体形象的塑造紧密结舍起来。</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本课程教学内容：礼仪的概述；个人形象礼仪日常交往礼仪；公共礼仪；通联礼仪；职场礼仪；家庭礼仪；餐饮礼仪;步外礼仪等。</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要求:为了提高课程的针对性和有裁性，不断改进教学方法，提升教学质星，可使用情境教学、项目化教学、角色扮演、案例、实践教学法等多样性敦学手段。注重培养学生的实践能力，在理论必须够用的基础上，大星进行实践教学，使抽象的知识变成实际的技能，让学生做中学、做中教，切实提高学生素养,培养高尚的情操和良好的交际能力，促进学生职业责任感、荣誉感和内心职业信念的形成，为学生走上社会、走尙工作岗位打好基础。</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1276" w:type="dxa"/>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艺术</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坚持落实立德树人根本任务，使学生通过艺术鉴赏与实践等活动，发展艺术感知、审美判断、创意表达和文化理解等艺术核心素养。</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本课程教学内容：包含音乐、美术、舞銘、设计、工艺、残剧、影视等艺术门类的综舍性课程，与义务教育阶段艺术相关课程相衔接，具有思想性、民族性、时代性、人文性、审美性和实践性。</w:t>
            </w:r>
          </w:p>
        </w:tc>
        <w:tc>
          <w:tcPr>
            <w:tcW w:w="705" w:type="dxa"/>
            <w:noWrap w:val="0"/>
            <w:vAlign w:val="center"/>
          </w:tcPr>
          <w:p>
            <w:pPr>
              <w:pStyle w:val="7"/>
              <w:keepNext w:val="0"/>
              <w:keepLines w:val="0"/>
              <w:widowControl w:val="0"/>
              <w:shd w:val="clear" w:color="auto" w:fill="auto"/>
              <w:bidi w:val="0"/>
              <w:spacing w:before="84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lang w:val="en-US" w:eastAsia="zh-CN"/>
              </w:rPr>
              <w:t>中职生</w:t>
            </w:r>
            <w:r>
              <w:rPr>
                <w:rFonts w:hint="eastAsia" w:ascii="仿宋" w:hAnsi="仿宋" w:eastAsia="仿宋" w:cs="仿宋"/>
                <w:color w:val="000000"/>
                <w:spacing w:val="0"/>
                <w:w w:val="100"/>
                <w:position w:val="0"/>
              </w:rPr>
              <w:t>职业素养</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立足服务区域经济发展，以创业与就业要求为基础，培养学生良好的职业人文素养。实现个人职业生涯可持续发展，最终成为企业、行业需要的舍格高素质的技能性人才。</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6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通过学习，让学生掌握和养成好的学习习惯和学习能力、交流沟通能力、团队协作、实践能力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创造能力、就业能力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创业能力等职业通用能力,更好服务于社会，达成职业理想。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大别山红色文化读本</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lang w:eastAsia="zh-CN"/>
              </w:rPr>
            </w:pPr>
            <w:r>
              <w:rPr>
                <w:rFonts w:hint="eastAsia" w:ascii="仿宋" w:hAnsi="仿宋" w:eastAsia="仿宋" w:cs="仿宋"/>
                <w:color w:val="000000"/>
                <w:spacing w:val="0"/>
                <w:w w:val="100"/>
                <w:position w:val="0"/>
              </w:rPr>
              <w:t>本课程主要围绕本土</w:t>
            </w:r>
            <w:r>
              <w:rPr>
                <w:rFonts w:hint="eastAsia" w:ascii="仿宋" w:hAnsi="仿宋" w:eastAsia="仿宋" w:cs="仿宋"/>
                <w:color w:val="000000"/>
                <w:spacing w:val="0"/>
                <w:w w:val="100"/>
                <w:position w:val="0"/>
                <w:lang w:val="en-US" w:eastAsia="zh-CN"/>
              </w:rPr>
              <w:t>革命经典案例，通过</w:t>
            </w:r>
            <w:r>
              <w:rPr>
                <w:rFonts w:hint="eastAsia" w:ascii="仿宋" w:hAnsi="仿宋" w:eastAsia="仿宋" w:cs="仿宋"/>
                <w:color w:val="000000"/>
                <w:spacing w:val="0"/>
                <w:w w:val="100"/>
                <w:position w:val="0"/>
              </w:rPr>
              <w:t>歌曲、</w:t>
            </w:r>
            <w:r>
              <w:rPr>
                <w:rFonts w:hint="eastAsia" w:ascii="仿宋" w:hAnsi="仿宋" w:eastAsia="仿宋" w:cs="仿宋"/>
                <w:color w:val="000000"/>
                <w:spacing w:val="0"/>
                <w:w w:val="100"/>
                <w:position w:val="0"/>
                <w:lang w:val="en-US" w:eastAsia="zh-CN"/>
              </w:rPr>
              <w:t>故事、观看影片等</w:t>
            </w:r>
            <w:r>
              <w:rPr>
                <w:rFonts w:hint="eastAsia" w:ascii="仿宋" w:hAnsi="仿宋" w:eastAsia="仿宋" w:cs="仿宋"/>
                <w:color w:val="000000"/>
                <w:spacing w:val="0"/>
                <w:w w:val="100"/>
                <w:position w:val="0"/>
              </w:rPr>
              <w:t>及书本中</w:t>
            </w:r>
            <w:r>
              <w:rPr>
                <w:rFonts w:hint="eastAsia" w:ascii="仿宋" w:hAnsi="仿宋" w:eastAsia="仿宋" w:cs="仿宋"/>
                <w:color w:val="000000"/>
                <w:spacing w:val="0"/>
                <w:w w:val="100"/>
                <w:position w:val="0"/>
                <w:lang w:val="en-US" w:eastAsia="zh-CN"/>
              </w:rPr>
              <w:t>红色</w:t>
            </w:r>
            <w:r>
              <w:rPr>
                <w:rFonts w:hint="eastAsia" w:ascii="仿宋" w:hAnsi="仿宋" w:eastAsia="仿宋" w:cs="仿宋"/>
                <w:color w:val="000000"/>
                <w:spacing w:val="0"/>
                <w:w w:val="100"/>
                <w:position w:val="0"/>
              </w:rPr>
              <w:t>地方知识进行学习。让学生在</w:t>
            </w:r>
            <w:r>
              <w:rPr>
                <w:rFonts w:hint="eastAsia" w:ascii="仿宋" w:hAnsi="仿宋" w:eastAsia="仿宋" w:cs="仿宋"/>
                <w:color w:val="000000"/>
                <w:spacing w:val="0"/>
                <w:w w:val="100"/>
                <w:position w:val="0"/>
                <w:lang w:val="en-US" w:eastAsia="zh-CN"/>
              </w:rPr>
              <w:t>学习</w:t>
            </w:r>
            <w:r>
              <w:rPr>
                <w:rFonts w:hint="eastAsia" w:ascii="仿宋" w:hAnsi="仿宋" w:eastAsia="仿宋" w:cs="仿宋"/>
                <w:color w:val="000000"/>
                <w:spacing w:val="0"/>
                <w:w w:val="100"/>
                <w:position w:val="0"/>
              </w:rPr>
              <w:t>的过程中，培养学生的爰国主义情怀，了解和掌握本地方民族文化知识</w:t>
            </w:r>
            <w:r>
              <w:rPr>
                <w:rFonts w:hint="eastAsia" w:ascii="仿宋" w:hAnsi="仿宋" w:eastAsia="仿宋" w:cs="仿宋"/>
                <w:color w:val="000000"/>
                <w:spacing w:val="0"/>
                <w:w w:val="100"/>
                <w:position w:val="0"/>
                <w:lang w:eastAsia="zh-CN"/>
              </w:rPr>
              <w:t>。</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通过学习，使学生的情感世界受到感染和黛陶，通过対</w:t>
            </w:r>
            <w:r>
              <w:rPr>
                <w:rFonts w:hint="eastAsia" w:ascii="仿宋" w:hAnsi="仿宋" w:eastAsia="仿宋" w:cs="仿宋"/>
                <w:color w:val="000000"/>
                <w:spacing w:val="0"/>
                <w:w w:val="100"/>
                <w:position w:val="0"/>
                <w:lang w:val="en-US" w:eastAsia="zh-CN"/>
              </w:rPr>
              <w:t>革命历史事件的学习，</w:t>
            </w:r>
            <w:r>
              <w:rPr>
                <w:rFonts w:hint="eastAsia" w:ascii="仿宋" w:hAnsi="仿宋" w:eastAsia="仿宋" w:cs="仿宋"/>
                <w:color w:val="000000"/>
                <w:spacing w:val="0"/>
                <w:w w:val="100"/>
                <w:position w:val="0"/>
              </w:rPr>
              <w:t>思想倾尙、人文内涵的感受和理解，培养学生</w:t>
            </w:r>
            <w:r>
              <w:rPr>
                <w:rFonts w:hint="eastAsia" w:ascii="仿宋" w:hAnsi="仿宋" w:eastAsia="仿宋" w:cs="仿宋"/>
                <w:color w:val="000000"/>
                <w:spacing w:val="0"/>
                <w:w w:val="100"/>
                <w:position w:val="0"/>
                <w:lang w:val="en-US" w:eastAsia="zh-CN"/>
              </w:rPr>
              <w:t>爱国主义精神</w:t>
            </w:r>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lang w:val="en-US" w:eastAsia="zh-CN"/>
              </w:rPr>
              <w:t>树立社会主义核心价值观感受革命的艰辛，更加珍惜现在的幸福生活。</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中华优秀传统文化</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该课程以弘扬中华优秀传统文化为宗旨，通过対中华传统文化进行提纲挈领的通俗介绍，让学生在阅读过程中感知中华传统文化的博大精采，増强其民族文化认同感和民族自我感。</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通过该课程学习帮助学生树立正确的传统文化观念，対他们形成正确的世界观、人生观和价値观起到积极作用。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1276"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法律基础知识</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在学校学习中和初涉社会时与学习、生活、就业等诸多方面密切相关的法律理论、知识和规定进行编</w:t>
            </w:r>
            <w:r>
              <w:rPr>
                <w:rFonts w:hint="eastAsia" w:ascii="仿宋" w:hAnsi="仿宋" w:eastAsia="仿宋" w:cs="仿宋"/>
                <w:color w:val="000000"/>
                <w:spacing w:val="0"/>
                <w:w w:val="100"/>
                <w:position w:val="0"/>
                <w:lang w:val="en-US" w:eastAsia="en-US" w:bidi="en-US"/>
              </w:rPr>
              <w:t>*</w:t>
            </w:r>
            <w:r>
              <w:rPr>
                <w:rFonts w:hint="eastAsia" w:ascii="仿宋" w:hAnsi="仿宋" w:eastAsia="仿宋" w:cs="仿宋"/>
                <w:color w:val="000000"/>
                <w:spacing w:val="0"/>
                <w:w w:val="100"/>
                <w:position w:val="0"/>
              </w:rPr>
              <w:t>本书编写目的是通过相关法学理论和法律实务的教育与指导，普及基本法律知识，解决实际法律冋觐，</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通过该课程学习提升学生整体法律素养，使学生能够真正懂法、守法和用法，自觉维护国家、社会和集体的利益以及自身的舍法权益，逐步成为符舍社会主义法台社会要求的舍格公民。</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1276" w:type="dxa"/>
            <w:noWrap w:val="0"/>
            <w:vAlign w:val="center"/>
          </w:tcPr>
          <w:p>
            <w:pPr>
              <w:pStyle w:val="7"/>
              <w:keepNext w:val="0"/>
              <w:keepLines w:val="0"/>
              <w:widowControl w:val="0"/>
              <w:shd w:val="clear" w:color="auto" w:fill="auto"/>
              <w:bidi w:val="0"/>
              <w:spacing w:before="0" w:after="140" w:line="240" w:lineRule="auto"/>
              <w:ind w:left="0" w:right="0" w:firstLine="0"/>
              <w:jc w:val="center"/>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工匠精神</w:t>
            </w:r>
            <w:r>
              <w:rPr>
                <w:rFonts w:hint="eastAsia" w:ascii="仿宋" w:hAnsi="仿宋" w:eastAsia="仿宋" w:cs="仿宋"/>
                <w:color w:val="000000"/>
                <w:spacing w:val="0"/>
                <w:w w:val="100"/>
                <w:position w:val="0"/>
                <w:lang w:val="en-US" w:eastAsia="zh-CN"/>
              </w:rPr>
              <w:t>读本</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从工匠精神次被写进政府工作报吿，到</w:t>
            </w:r>
            <w:r>
              <w:rPr>
                <w:rFonts w:hint="eastAsia" w:ascii="仿宋" w:hAnsi="仿宋" w:eastAsia="仿宋" w:cs="仿宋"/>
                <w:color w:val="000000"/>
                <w:spacing w:val="0"/>
                <w:w w:val="100"/>
                <w:position w:val="0"/>
                <w:lang w:val="en-US" w:eastAsia="zh-CN"/>
              </w:rPr>
              <w:t>国家</w:t>
            </w:r>
            <w:r>
              <w:rPr>
                <w:rFonts w:hint="eastAsia" w:ascii="仿宋" w:hAnsi="仿宋" w:eastAsia="仿宋" w:cs="仿宋"/>
                <w:color w:val="000000"/>
                <w:spacing w:val="0"/>
                <w:w w:val="100"/>
                <w:position w:val="0"/>
              </w:rPr>
              <w:t>规划和十九大报吿中对工匠精神的一再强调，表明工匠精神已经成为一种广泛的社会导尙精益求精、认真负责、锐意进取、改革创新的工匠精神。</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通过该课程学习学生深刻认识匠精神的社会价值和素质教育导尙，工匠精神、劳动精神、动手能力、专注力和毅力、耐力，具有很强的感化作用。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中国书法</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激发学生的学习性趣，以使学生掌握书法的学习方法和提高实际书写能力、提高学生的综舍人文素质为目标，教学中以理论结舍实践而重实的原则进行，力求为学生以后的专业发展奠定基础。</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了解书法艺术的性质、特点；了解书法历史概况；了雑主要书体的艺术特点和书写技法;掌握书法美学的基础理论，鉴赏书法作品的一般原则和方法。以培养感受书法美的敏感，提高书法审美水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国防</w:t>
            </w:r>
            <w:r>
              <w:rPr>
                <w:rFonts w:hint="eastAsia" w:ascii="仿宋" w:hAnsi="仿宋" w:eastAsia="仿宋" w:cs="仿宋"/>
                <w:color w:val="000000"/>
                <w:spacing w:val="0"/>
                <w:w w:val="100"/>
                <w:position w:val="0"/>
                <w:lang w:val="en-US" w:eastAsia="zh-CN"/>
              </w:rPr>
              <w:t>教</w:t>
            </w:r>
            <w:r>
              <w:rPr>
                <w:rFonts w:hint="eastAsia" w:ascii="仿宋" w:hAnsi="仿宋" w:eastAsia="仿宋" w:cs="仿宋"/>
                <w:color w:val="000000"/>
                <w:spacing w:val="0"/>
                <w:w w:val="100"/>
                <w:position w:val="0"/>
              </w:rPr>
              <w:t>育</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通过本课程的学习，掌握基本军事知识与军事技能；増强国防观念和国家安全意识；强化爰国主义、集</w:t>
            </w:r>
            <w:r>
              <w:rPr>
                <w:rFonts w:hint="eastAsia" w:ascii="仿宋" w:hAnsi="仿宋" w:eastAsia="仿宋" w:cs="仿宋"/>
                <w:color w:val="000000"/>
                <w:spacing w:val="0"/>
                <w:w w:val="100"/>
                <w:position w:val="0"/>
                <w:lang w:val="zh-CN" w:eastAsia="zh-CN" w:bidi="zh-CN"/>
              </w:rPr>
              <w:t>依主</w:t>
            </w:r>
            <w:r>
              <w:rPr>
                <w:rFonts w:hint="eastAsia" w:ascii="仿宋" w:hAnsi="仿宋" w:eastAsia="仿宋" w:cs="仿宋"/>
                <w:color w:val="000000"/>
                <w:spacing w:val="0"/>
                <w:w w:val="100"/>
                <w:position w:val="0"/>
              </w:rPr>
              <w:t>义和革命英雄主义观念；提高组织纪律性。</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b w:val="0"/>
                <w:bCs w:val="0"/>
              </w:rPr>
            </w:pPr>
            <w:r>
              <w:rPr>
                <w:rFonts w:hint="eastAsia" w:ascii="仿宋" w:hAnsi="仿宋" w:eastAsia="仿宋" w:cs="仿宋"/>
                <w:b w:val="0"/>
                <w:bCs w:val="0"/>
                <w:color w:val="000000"/>
                <w:spacing w:val="0"/>
                <w:w w:val="100"/>
                <w:position w:val="0"/>
              </w:rPr>
              <w:t>主要教学内容：</w:t>
            </w:r>
            <w:r>
              <w:rPr>
                <w:rFonts w:hint="eastAsia" w:ascii="仿宋" w:hAnsi="仿宋" w:eastAsia="仿宋" w:cs="仿宋"/>
                <w:b w:val="0"/>
                <w:bCs w:val="0"/>
                <w:color w:val="000000"/>
                <w:spacing w:val="0"/>
                <w:w w:val="100"/>
                <w:position w:val="0"/>
                <w:sz w:val="18"/>
                <w:szCs w:val="18"/>
              </w:rPr>
              <w:t>1</w:t>
            </w:r>
            <w:r>
              <w:rPr>
                <w:rFonts w:hint="eastAsia" w:ascii="仿宋" w:hAnsi="仿宋" w:eastAsia="仿宋" w:cs="仿宋"/>
                <w:b w:val="0"/>
                <w:bCs w:val="0"/>
                <w:color w:val="000000"/>
                <w:spacing w:val="0"/>
                <w:w w:val="100"/>
                <w:position w:val="0"/>
              </w:rPr>
              <w:t>.集中训练：《内务条令》、《纪律条令》、《队列条令》＜育训练；单兵基本战术训练；战地救护反自救。</w:t>
            </w:r>
            <w:r>
              <w:rPr>
                <w:rFonts w:hint="eastAsia" w:ascii="仿宋" w:hAnsi="仿宋" w:eastAsia="仿宋" w:cs="仿宋"/>
                <w:b w:val="0"/>
                <w:bCs w:val="0"/>
                <w:color w:val="000000"/>
                <w:spacing w:val="0"/>
                <w:w w:val="100"/>
                <w:position w:val="0"/>
                <w:sz w:val="18"/>
                <w:szCs w:val="18"/>
              </w:rPr>
              <w:t>2,</w:t>
            </w:r>
            <w:r>
              <w:rPr>
                <w:rFonts w:hint="eastAsia" w:ascii="仿宋" w:hAnsi="仿宋" w:eastAsia="仿宋" w:cs="仿宋"/>
                <w:b w:val="0"/>
                <w:bCs w:val="0"/>
                <w:color w:val="000000"/>
                <w:spacing w:val="0"/>
                <w:w w:val="100"/>
                <w:position w:val="0"/>
              </w:rPr>
              <w:t>知识讲座：我国国防政策与法规；中国人民解勲军的性质、宗旨和光荣传统；现代军事科技与高技术战争。</w:t>
            </w:r>
          </w:p>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b w:val="0"/>
                <w:bCs w:val="0"/>
                <w:color w:val="000000"/>
                <w:spacing w:val="0"/>
                <w:w w:val="100"/>
                <w:position w:val="0"/>
              </w:rPr>
              <w:t>要求由学校和具备军训資质的单位共同组织实施;集中训练课时不低于总课时的</w:t>
            </w:r>
            <w:r>
              <w:rPr>
                <w:rFonts w:hint="eastAsia" w:ascii="仿宋" w:hAnsi="仿宋" w:eastAsia="仿宋" w:cs="仿宋"/>
                <w:b w:val="0"/>
                <w:bCs w:val="0"/>
                <w:color w:val="000000"/>
                <w:spacing w:val="0"/>
                <w:w w:val="100"/>
                <w:position w:val="0"/>
                <w:sz w:val="18"/>
                <w:szCs w:val="18"/>
              </w:rPr>
              <w:t>8</w:t>
            </w:r>
            <w:r>
              <w:rPr>
                <w:rFonts w:hint="eastAsia" w:ascii="仿宋" w:hAnsi="仿宋" w:eastAsia="仿宋" w:cs="仿宋"/>
                <w:b w:val="0"/>
                <w:bCs w:val="0"/>
                <w:color w:val="000000"/>
                <w:spacing w:val="0"/>
                <w:w w:val="100"/>
                <w:position w:val="0"/>
                <w:sz w:val="18"/>
                <w:szCs w:val="18"/>
                <w:lang w:val="en-US" w:eastAsia="zh-CN"/>
              </w:rPr>
              <w:t>学时</w:t>
            </w:r>
            <w:r>
              <w:rPr>
                <w:rFonts w:hint="eastAsia" w:ascii="仿宋" w:hAnsi="仿宋" w:eastAsia="仿宋" w:cs="仿宋"/>
                <w:b w:val="0"/>
                <w:bCs w:val="0"/>
                <w:color w:val="000000"/>
                <w:spacing w:val="0"/>
                <w:w w:val="100"/>
                <w:position w:val="0"/>
              </w:rPr>
              <w:t>；示范教学，集中训练，循序渐进。</w:t>
            </w:r>
          </w:p>
        </w:tc>
        <w:tc>
          <w:tcPr>
            <w:tcW w:w="705" w:type="dxa"/>
            <w:noWrap w:val="0"/>
            <w:vAlign w:val="center"/>
          </w:tcPr>
          <w:p>
            <w:pPr>
              <w:jc w:val="center"/>
              <w:rPr>
                <w:rFonts w:hint="eastAsia" w:ascii="仿宋" w:hAnsi="仿宋" w:eastAsia="仿宋" w:cs="仿宋"/>
                <w:color w:val="000000"/>
                <w:sz w:val="21"/>
                <w:szCs w:val="21"/>
              </w:rPr>
            </w:pPr>
          </w:p>
        </w:tc>
      </w:tr>
    </w:tbl>
    <w:p>
      <w:pPr>
        <w:overflowPunct w:val="0"/>
        <w:adjustRightInd w:val="0"/>
        <w:rPr>
          <w:rFonts w:eastAsia="方正仿宋简体"/>
          <w:color w:val="FF0000"/>
        </w:rPr>
      </w:pPr>
    </w:p>
    <w:p>
      <w:pPr>
        <w:overflowPunct w:val="0"/>
        <w:adjustRightInd w:val="0"/>
        <w:ind w:firstLine="480" w:firstLineChars="200"/>
        <w:outlineLvl w:val="0"/>
        <w:rPr>
          <w:rFonts w:eastAsia="楷体_GB2312"/>
          <w:b/>
          <w:sz w:val="24"/>
          <w:szCs w:val="24"/>
        </w:rPr>
      </w:pPr>
      <w:r>
        <w:rPr>
          <w:rFonts w:eastAsia="楷体_GB2312"/>
          <w:b/>
          <w:sz w:val="24"/>
          <w:szCs w:val="24"/>
        </w:rPr>
        <w:t>（二）专业（技能）课程</w:t>
      </w:r>
    </w:p>
    <w:tbl>
      <w:tblPr>
        <w:tblStyle w:val="4"/>
        <w:tblW w:w="949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30"/>
        <w:gridCol w:w="3223"/>
        <w:gridCol w:w="3822"/>
        <w:gridCol w:w="675"/>
      </w:tblGrid>
      <w:tr>
        <w:trPr>
          <w:trHeight w:val="447" w:hRule="atLeast"/>
        </w:trPr>
        <w:tc>
          <w:tcPr>
            <w:tcW w:w="64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223"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22"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67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口腔生理学</w:t>
            </w:r>
            <w:r>
              <w:rPr>
                <w:rFonts w:hint="eastAsia" w:ascii="宋体" w:hAnsi="宋体" w:cs="宋体"/>
                <w:i w:val="0"/>
                <w:iCs w:val="0"/>
                <w:color w:val="auto"/>
                <w:kern w:val="0"/>
                <w:sz w:val="18"/>
                <w:szCs w:val="18"/>
                <w:u w:val="none"/>
                <w:lang w:val="en-US" w:eastAsia="zh-Hans" w:bidi="ar"/>
              </w:rPr>
              <w:t>基础</w:t>
            </w:r>
          </w:p>
        </w:tc>
        <w:tc>
          <w:tcPr>
            <w:tcW w:w="3223" w:type="dxa"/>
            <w:noWrap w:val="0"/>
            <w:vAlign w:val="center"/>
          </w:tcPr>
          <w:p>
            <w:pPr>
              <w:jc w:val="left"/>
              <w:rPr>
                <w:rFonts w:hint="eastAsia" w:ascii="仿宋" w:hAnsi="仿宋" w:eastAsia="仿宋" w:cs="仿宋"/>
                <w:b/>
                <w:color w:val="auto"/>
                <w:sz w:val="21"/>
                <w:szCs w:val="21"/>
              </w:rPr>
            </w:pPr>
            <w:r>
              <w:rPr>
                <w:rFonts w:hint="eastAsia"/>
                <w:color w:val="auto"/>
                <w:sz w:val="18"/>
                <w:szCs w:val="18"/>
                <w:lang w:val="en-US"/>
              </w:rPr>
              <w:t>本课程</w:t>
            </w:r>
            <w:r>
              <w:rPr>
                <w:rFonts w:hint="eastAsia"/>
                <w:color w:val="auto"/>
                <w:sz w:val="18"/>
                <w:szCs w:val="18"/>
                <w:lang w:val="en-US" w:eastAsia="zh-Hans"/>
              </w:rPr>
              <w:t>主要讲授牙合、领骨、题下领关节和咀嚼肌诸部位的形态和生理功能以及口腔功能等，是口腔修复专业的一门重要基础理论课。通过课堂讲授，课堂讨论及学生自学等多种方式进行教学，要求学生掌握牙合 、领骨、题下领关节和咀嚼肌的解剖结构与生理功能，口腔重要生理功能以及临床应用。掌握一些常用的英语专业名词，以利学生阅读英语专业书刊。</w:t>
            </w:r>
          </w:p>
        </w:tc>
        <w:tc>
          <w:tcPr>
            <w:tcW w:w="3822" w:type="dxa"/>
            <w:noWrap w:val="0"/>
            <w:vAlign w:val="center"/>
          </w:tcPr>
          <w:p>
            <w:pPr>
              <w:keepNext w:val="0"/>
              <w:keepLines w:val="0"/>
              <w:widowControl/>
              <w:suppressLineNumbers w:val="0"/>
              <w:ind w:left="0" w:leftChars="0" w:firstLine="0" w:firstLineChars="0"/>
              <w:jc w:val="left"/>
              <w:textAlignment w:val="center"/>
              <w:rPr>
                <w:rFonts w:hint="default" w:ascii="仿宋" w:hAnsi="仿宋" w:cs="仿宋" w:eastAsiaTheme="minorEastAsia"/>
                <w:b/>
                <w:color w:val="000000"/>
                <w:sz w:val="21"/>
                <w:szCs w:val="21"/>
                <w:lang w:val="en-US" w:eastAsia="zh-Hans"/>
              </w:rPr>
            </w:pPr>
            <w:r>
              <w:rPr>
                <w:rStyle w:val="10"/>
                <w:rFonts w:hint="eastAsia" w:ascii="宋体" w:hAnsi="宋体" w:eastAsia="宋体" w:cs="宋体"/>
                <w:i w:val="0"/>
                <w:iCs w:val="0"/>
                <w:sz w:val="18"/>
                <w:szCs w:val="18"/>
                <w:lang w:val="en-US" w:eastAsia="zh-CN" w:bidi="ar"/>
              </w:rPr>
              <w:t>掌握牙体解剖、牙列、牙合及颌位,阐明口腔的生理功能,辨识运动系统脉管及神经的解剖和口腔颌面部的局部解剖,掌握牙体雕刻技术,紧密地联系临床实际,从而为学习口腔临床医学课程奠定必要的基础，教师应认真按照三基(基本理论、基本知识、基本技能)和三严(严肃态度、严格作风、严密方法)的要求,结合临床应用加以阐述,指导学生通过听课、绘图、实习操作、观察标本、自学、教师辅导、考试等方式完成学习任务。</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口腔解剖与牙雕刻技术</w:t>
            </w:r>
          </w:p>
        </w:tc>
        <w:tc>
          <w:tcPr>
            <w:tcW w:w="3223" w:type="dxa"/>
            <w:noWrap w:val="0"/>
            <w:vAlign w:val="center"/>
          </w:tcPr>
          <w:p>
            <w:pPr>
              <w:jc w:val="left"/>
              <w:rPr>
                <w:rFonts w:hint="eastAsia" w:ascii="仿宋" w:hAnsi="仿宋" w:eastAsia="仿宋" w:cs="仿宋"/>
                <w:b/>
                <w:color w:val="auto"/>
                <w:sz w:val="21"/>
                <w:szCs w:val="21"/>
              </w:rPr>
            </w:pPr>
            <w:r>
              <w:rPr>
                <w:rFonts w:hint="eastAsia" w:eastAsia="宋体"/>
                <w:b w:val="0"/>
                <w:bCs/>
                <w:color w:val="auto"/>
                <w:sz w:val="18"/>
                <w:lang w:eastAsia="zh-CN"/>
              </w:rPr>
              <w:t>本课程作为口腔</w:t>
            </w:r>
            <w:r>
              <w:rPr>
                <w:rFonts w:hint="eastAsia" w:eastAsia="宋体"/>
                <w:b w:val="0"/>
                <w:bCs/>
                <w:color w:val="auto"/>
                <w:sz w:val="18"/>
                <w:lang w:val="en-US" w:eastAsia="zh-Hans"/>
              </w:rPr>
              <w:t>修复</w:t>
            </w:r>
            <w:r>
              <w:rPr>
                <w:rFonts w:hint="eastAsia" w:eastAsia="宋体"/>
                <w:b w:val="0"/>
                <w:bCs/>
                <w:color w:val="auto"/>
                <w:sz w:val="18"/>
                <w:lang w:eastAsia="zh-CN"/>
              </w:rPr>
              <w:t>专业的一门关键主干课程,以学习各类牙解剖形态知识,训练多种牙体雕刻技术为关键任务,为学生进行本专业后续课程学习和胜任口腔技工岗位所必须的基础技能的基础</w:t>
            </w:r>
            <w:r>
              <w:rPr>
                <w:rFonts w:hint="default" w:eastAsia="宋体"/>
                <w:b w:val="0"/>
                <w:bCs/>
                <w:color w:val="auto"/>
                <w:sz w:val="18"/>
                <w:lang w:eastAsia="zh-CN"/>
              </w:rPr>
              <w:t>。</w:t>
            </w:r>
          </w:p>
        </w:tc>
        <w:tc>
          <w:tcPr>
            <w:tcW w:w="3822" w:type="dxa"/>
            <w:noWrap w:val="0"/>
            <w:vAlign w:val="center"/>
          </w:tcPr>
          <w:p>
            <w:pPr>
              <w:keepNext w:val="0"/>
              <w:keepLines w:val="0"/>
              <w:widowControl/>
              <w:suppressLineNumbers w:val="0"/>
              <w:ind w:left="0" w:leftChars="0" w:firstLine="0" w:firstLineChars="0"/>
              <w:jc w:val="left"/>
              <w:textAlignment w:val="center"/>
              <w:rPr>
                <w:rFonts w:hint="default" w:ascii="仿宋" w:hAnsi="仿宋" w:eastAsia="仿宋" w:cs="仿宋"/>
                <w:b/>
                <w:color w:val="000000"/>
                <w:sz w:val="21"/>
                <w:szCs w:val="21"/>
                <w:lang w:val="en-US"/>
              </w:rPr>
            </w:pPr>
            <w:r>
              <w:rPr>
                <w:rStyle w:val="10"/>
                <w:rFonts w:hint="eastAsia" w:ascii="宋体" w:hAnsi="宋体" w:eastAsia="宋体" w:cs="宋体"/>
                <w:sz w:val="18"/>
                <w:szCs w:val="18"/>
                <w:lang w:val="en-US" w:eastAsia="zh-CN" w:bidi="ar"/>
              </w:rPr>
              <w:t>掌握牙体一般应用名词及牙冠表面解剖标志、恒牙牙体外形；熟悉口腔颌面部的形态结构特点，牙的分类、组成及牙位记录法、牙体形态的生理意义；了解髓腔形态及牙的变异。学会恒牙雕刻（石膏牙和蜡牙）的基本方法和步骤，能够应用滴蜡技术塑造恒牙面形态，恢复正常曲线。</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3</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口腔组织及病理学基础</w:t>
            </w:r>
          </w:p>
        </w:tc>
        <w:tc>
          <w:tcPr>
            <w:tcW w:w="3223" w:type="dxa"/>
            <w:noWrap w:val="0"/>
            <w:vAlign w:val="center"/>
          </w:tcPr>
          <w:p>
            <w:pPr>
              <w:jc w:val="left"/>
              <w:rPr>
                <w:rFonts w:hint="eastAsia" w:ascii="宋体" w:hAnsi="宋体" w:eastAsia="宋体" w:cs="宋体"/>
                <w:b/>
                <w:color w:val="auto"/>
                <w:sz w:val="21"/>
                <w:szCs w:val="21"/>
              </w:rPr>
            </w:pPr>
            <w:r>
              <w:rPr>
                <w:rFonts w:hint="eastAsia" w:ascii="宋体" w:hAnsi="宋体" w:eastAsia="宋体" w:cs="宋体"/>
                <w:color w:val="auto"/>
                <w:sz w:val="18"/>
                <w:szCs w:val="18"/>
                <w:lang w:val="en-US"/>
              </w:rPr>
              <w:t>本课程</w:t>
            </w:r>
            <w:r>
              <w:rPr>
                <w:rFonts w:hint="eastAsia" w:ascii="宋体" w:hAnsi="宋体" w:eastAsia="宋体" w:cs="宋体"/>
                <w:b w:val="0"/>
                <w:bCs/>
                <w:color w:val="auto"/>
                <w:sz w:val="18"/>
                <w:lang w:eastAsia="zh-CN"/>
              </w:rPr>
              <w:t>是口腔</w:t>
            </w:r>
            <w:r>
              <w:rPr>
                <w:rFonts w:hint="eastAsia" w:ascii="宋体" w:hAnsi="宋体" w:eastAsia="宋体" w:cs="宋体"/>
                <w:b w:val="0"/>
                <w:bCs/>
                <w:color w:val="auto"/>
                <w:sz w:val="18"/>
                <w:lang w:val="en-US" w:eastAsia="zh-Hans"/>
              </w:rPr>
              <w:t>修复专业</w:t>
            </w:r>
            <w:r>
              <w:rPr>
                <w:rFonts w:hint="eastAsia" w:ascii="宋体" w:hAnsi="宋体" w:eastAsia="宋体" w:cs="宋体"/>
                <w:b w:val="0"/>
                <w:bCs/>
                <w:color w:val="auto"/>
                <w:sz w:val="18"/>
                <w:lang w:eastAsia="zh-CN"/>
              </w:rPr>
              <w:t>重要的基础课程之一。该课程的主要教学目标是运用已学过的医学基础知识和部分口腔基础知识进一步培养学生详细了解正常口腔组织的结构、领面部及牙齿的发育过程以及各种口腔疾病的病因、病理改变和发病机制。通过学习使学生能独立识别口腔正常组织和病变组织细胞的病理变化，从而为学生具备防治口腔疾病的能力提供一定的科学依据，为</w:t>
            </w:r>
            <w:r>
              <w:rPr>
                <w:rFonts w:hint="eastAsia" w:ascii="宋体" w:hAnsi="宋体" w:eastAsia="宋体" w:cs="宋体"/>
                <w:b w:val="0"/>
                <w:bCs/>
                <w:color w:val="auto"/>
                <w:sz w:val="18"/>
                <w:lang w:val="en-US" w:eastAsia="zh-Hans"/>
              </w:rPr>
              <w:t>后续课程及</w:t>
            </w:r>
            <w:r>
              <w:rPr>
                <w:rFonts w:hint="eastAsia" w:ascii="宋体" w:hAnsi="宋体" w:eastAsia="宋体" w:cs="宋体"/>
                <w:b w:val="0"/>
                <w:bCs/>
                <w:color w:val="auto"/>
                <w:sz w:val="18"/>
                <w:lang w:eastAsia="zh-CN"/>
              </w:rPr>
              <w:t>工作打下坚实基础。</w:t>
            </w: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18"/>
                <w:szCs w:val="18"/>
                <w:lang w:eastAsia="zh-Hans"/>
              </w:rPr>
            </w:pPr>
            <w:r>
              <w:rPr>
                <w:rFonts w:hint="eastAsia" w:ascii="宋体" w:hAnsi="宋体" w:eastAsia="宋体" w:cs="宋体"/>
                <w:i w:val="0"/>
                <w:iCs w:val="0"/>
                <w:color w:val="000000"/>
                <w:kern w:val="0"/>
                <w:sz w:val="18"/>
                <w:szCs w:val="18"/>
                <w:u w:val="none"/>
                <w:lang w:val="en-US" w:eastAsia="zh-CN" w:bidi="ar"/>
              </w:rPr>
              <w:t>熟悉口腔各器官的组织结构及发育过程，了解口腔常见病的病理变化。初步具备基本的口腔组织及病理学知识</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4</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口腔工艺材料应用</w:t>
            </w:r>
          </w:p>
        </w:tc>
        <w:tc>
          <w:tcPr>
            <w:tcW w:w="3223" w:type="dxa"/>
            <w:noWrap w:val="0"/>
            <w:vAlign w:val="center"/>
          </w:tcPr>
          <w:p>
            <w:pPr>
              <w:jc w:val="left"/>
              <w:rPr>
                <w:rFonts w:hint="default" w:ascii="宋体" w:hAnsi="宋体" w:eastAsia="宋体" w:cs="宋体"/>
                <w:bCs/>
                <w:color w:val="auto"/>
                <w:sz w:val="18"/>
                <w:lang w:eastAsia="zh-Hans"/>
              </w:rPr>
            </w:pPr>
            <w:r>
              <w:rPr>
                <w:rFonts w:hint="eastAsia" w:ascii="宋体" w:hAnsi="宋体" w:eastAsia="宋体" w:cs="宋体"/>
                <w:bCs/>
                <w:color w:val="auto"/>
                <w:sz w:val="18"/>
              </w:rPr>
              <w:t>本课程是</w:t>
            </w:r>
            <w:r>
              <w:rPr>
                <w:rFonts w:hint="eastAsia" w:ascii="宋体" w:hAnsi="宋体" w:eastAsia="宋体" w:cs="宋体"/>
                <w:bCs/>
                <w:color w:val="auto"/>
                <w:sz w:val="18"/>
                <w:lang w:val="en-US" w:eastAsia="zh-Hans"/>
              </w:rPr>
              <w:t>口腔修复专业的必修课程</w:t>
            </w:r>
            <w:r>
              <w:rPr>
                <w:rFonts w:hint="default" w:ascii="宋体" w:hAnsi="宋体" w:eastAsia="宋体" w:cs="宋体"/>
                <w:bCs/>
                <w:color w:val="auto"/>
                <w:sz w:val="18"/>
                <w:lang w:eastAsia="zh-Hans"/>
              </w:rPr>
              <w:t>，通过任务引领和项目驱动的教学方式，使学生掌握口腔修复常用材料的理论及其相关知识,掌握口腔常用材料的使</w:t>
            </w:r>
            <w:r>
              <w:rPr>
                <w:rFonts w:hint="eastAsia" w:ascii="宋体" w:hAnsi="宋体" w:eastAsia="宋体" w:cs="宋体"/>
                <w:bCs/>
                <w:color w:val="auto"/>
                <w:sz w:val="18"/>
                <w:lang w:val="en-US" w:eastAsia="zh-Hans"/>
              </w:rPr>
              <w:t>用</w:t>
            </w:r>
            <w:r>
              <w:rPr>
                <w:rFonts w:hint="default" w:ascii="宋体" w:hAnsi="宋体" w:eastAsia="宋体" w:cs="宋体"/>
                <w:bCs/>
                <w:color w:val="auto"/>
                <w:sz w:val="18"/>
                <w:lang w:eastAsia="zh-Hans"/>
              </w:rPr>
              <w:t>方法和操作流程，备能完成本专业相关岗位工作任务的的能力，为学习后续课程和从事口腔工艺技术行业的相关工作打好基础。同时培养学生具有诚实.守信、善于沟通和合作的品质，树立认真、严谨、求实的工作作风为学生的职业能力的发展奠定良好的基础。</w:t>
            </w:r>
          </w:p>
          <w:p>
            <w:pPr>
              <w:jc w:val="left"/>
              <w:rPr>
                <w:rFonts w:hint="default" w:ascii="宋体" w:hAnsi="宋体" w:eastAsia="宋体" w:cs="宋体"/>
                <w:b/>
                <w:color w:val="auto"/>
                <w:sz w:val="21"/>
                <w:szCs w:val="21"/>
                <w:lang w:eastAsia="zh-Hans"/>
              </w:rPr>
            </w:pP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color w:val="000000"/>
                <w:sz w:val="21"/>
                <w:szCs w:val="21"/>
                <w:lang w:val="en-US" w:eastAsia="zh-Hans"/>
              </w:rPr>
            </w:pPr>
            <w:r>
              <w:rPr>
                <w:rFonts w:hint="eastAsia" w:ascii="宋体" w:hAnsi="宋体" w:eastAsia="宋体" w:cs="宋体"/>
                <w:i w:val="0"/>
                <w:iCs w:val="0"/>
                <w:color w:val="000000"/>
                <w:kern w:val="0"/>
                <w:sz w:val="18"/>
                <w:szCs w:val="18"/>
                <w:u w:val="none"/>
                <w:lang w:val="en-US" w:eastAsia="zh-CN" w:bidi="ar"/>
              </w:rPr>
              <w:t>掌握口腔修复工艺常用材料的种类、性能、用途和用法，能合理选择并正确使用各种修复材料进行口腔修复体和矫治器的制作</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b/>
                <w:color w:val="FF0000"/>
                <w:kern w:val="2"/>
                <w:sz w:val="20"/>
                <w:szCs w:val="20"/>
                <w:lang w:eastAsia="zh-CN" w:bidi="ar-SA"/>
              </w:rPr>
              <w:t>80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5</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口腔工艺设备使用与养护</w:t>
            </w:r>
          </w:p>
        </w:tc>
        <w:tc>
          <w:tcPr>
            <w:tcW w:w="3223" w:type="dxa"/>
            <w:noWrap w:val="0"/>
            <w:vAlign w:val="center"/>
          </w:tcPr>
          <w:p>
            <w:pPr>
              <w:jc w:val="left"/>
              <w:rPr>
                <w:rFonts w:hint="eastAsia" w:ascii="宋体" w:hAnsi="宋体" w:eastAsia="宋体" w:cs="宋体"/>
                <w:b/>
                <w:color w:val="auto"/>
                <w:sz w:val="21"/>
                <w:szCs w:val="21"/>
              </w:rPr>
            </w:pPr>
            <w:r>
              <w:rPr>
                <w:rFonts w:hint="eastAsia" w:ascii="宋体" w:hAnsi="宋体" w:eastAsia="宋体" w:cs="宋体"/>
                <w:bCs/>
                <w:color w:val="auto"/>
                <w:sz w:val="18"/>
              </w:rPr>
              <w:t>本课程是</w:t>
            </w:r>
            <w:r>
              <w:rPr>
                <w:rFonts w:hint="eastAsia" w:ascii="宋体" w:hAnsi="宋体" w:eastAsia="宋体" w:cs="宋体"/>
                <w:bCs/>
                <w:color w:val="auto"/>
                <w:sz w:val="18"/>
                <w:lang w:val="en-US" w:eastAsia="zh-Hans"/>
              </w:rPr>
              <w:t>口腔</w:t>
            </w:r>
            <w:r>
              <w:rPr>
                <w:rFonts w:hint="eastAsia" w:ascii="宋体" w:hAnsi="宋体" w:eastAsia="宋体" w:cs="宋体"/>
                <w:bCs/>
                <w:color w:val="auto"/>
                <w:sz w:val="18"/>
              </w:rPr>
              <w:t>专业必修课程，</w:t>
            </w:r>
            <w:r>
              <w:rPr>
                <w:rFonts w:hint="eastAsia" w:ascii="宋体" w:hAnsi="宋体" w:eastAsia="宋体" w:cs="宋体"/>
                <w:bCs/>
                <w:color w:val="auto"/>
                <w:sz w:val="18"/>
                <w:lang w:val="en-US" w:eastAsia="zh-Hans"/>
              </w:rPr>
              <w:t>课程</w:t>
            </w:r>
            <w:r>
              <w:rPr>
                <w:rFonts w:hint="eastAsia" w:ascii="宋体" w:hAnsi="宋体" w:eastAsia="宋体" w:cs="宋体"/>
                <w:bCs/>
                <w:color w:val="auto"/>
                <w:sz w:val="18"/>
                <w:lang w:val="en-US" w:eastAsia="zh-CN"/>
              </w:rPr>
              <w:t>以介绍常用设备的使用、维护、保养及管理等基本知识和 基本操作技能为主线，本着理论与实践相结合的原则 ，简要介绍口腔设备的形成、发展、分类及管理维护 等方面的知识，详细介绍口腔工艺切割、打磨、抛光 设备、铸造烤瓷设备和口腔工艺其他设备等相关知识 ，同时注意向学生介绍现代口腔设备的全新发展动态 。</w:t>
            </w: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18"/>
                <w:szCs w:val="18"/>
                <w:u w:val="none"/>
                <w:lang w:val="en-US" w:eastAsia="zh-CN" w:bidi="ar"/>
              </w:rPr>
              <w:t>了解口腔工艺设备的发展与现状，熟悉口腔工艺设备的结构与工作原理，掌握常用口腔工艺设备的操作常规、维护保养、常见故障及其排除方法、设备的管理等知识，能熟练使用常用口腔工艺设备，并能进行简单养护，初步学会常见故障的排除</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6</w:t>
            </w:r>
          </w:p>
        </w:tc>
        <w:tc>
          <w:tcPr>
            <w:tcW w:w="113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color w:val="000000"/>
                <w:sz w:val="21"/>
                <w:szCs w:val="21"/>
                <w:lang w:val="en-US" w:eastAsia="zh-Hans"/>
              </w:rPr>
            </w:pPr>
            <w:r>
              <w:rPr>
                <w:rFonts w:hint="eastAsia" w:ascii="宋体" w:hAnsi="宋体" w:eastAsia="宋体" w:cs="宋体"/>
                <w:i w:val="0"/>
                <w:iCs w:val="0"/>
                <w:color w:val="auto"/>
                <w:kern w:val="0"/>
                <w:sz w:val="18"/>
                <w:szCs w:val="18"/>
                <w:u w:val="none"/>
                <w:lang w:val="en-US" w:eastAsia="zh-CN" w:bidi="ar"/>
              </w:rPr>
              <w:t>口腔固定修复工艺技术</w:t>
            </w:r>
          </w:p>
        </w:tc>
        <w:tc>
          <w:tcPr>
            <w:tcW w:w="3223" w:type="dxa"/>
            <w:noWrap w:val="0"/>
            <w:vAlign w:val="center"/>
          </w:tcPr>
          <w:p>
            <w:pPr>
              <w:jc w:val="left"/>
              <w:rPr>
                <w:rFonts w:hint="eastAsia" w:ascii="宋体" w:hAnsi="宋体" w:eastAsia="宋体" w:cs="宋体"/>
                <w:b/>
                <w:color w:val="auto"/>
                <w:sz w:val="21"/>
                <w:szCs w:val="21"/>
              </w:rPr>
            </w:pPr>
            <w:r>
              <w:rPr>
                <w:rFonts w:hint="eastAsia" w:ascii="宋体" w:hAnsi="宋体" w:eastAsia="宋体" w:cs="宋体"/>
                <w:bCs/>
                <w:color w:val="auto"/>
                <w:sz w:val="18"/>
                <w:lang w:val="en-US" w:eastAsia="zh-Hans"/>
              </w:rPr>
              <w:t>本课程</w:t>
            </w:r>
            <w:r>
              <w:rPr>
                <w:rFonts w:hint="eastAsia" w:ascii="宋体" w:hAnsi="宋体" w:eastAsia="宋体" w:cs="宋体"/>
                <w:bCs/>
                <w:color w:val="auto"/>
                <w:sz w:val="18"/>
                <w:lang w:val="en-US" w:eastAsia="zh-CN"/>
              </w:rPr>
              <w:t>是口腔修复工艺专业的主干核心课程之一，课程内容围绕职业能力的形成来展开，以口腔专业基础课程为基础，以实践技能为主，突出固定义齿修复与技工室制作的工艺技术，结合阐述制作各种固定义齿的新材料、新技术和新方法，目的是使学生能运用相关基础理论和基本技能制作各种固定修复体</w:t>
            </w:r>
            <w:r>
              <w:rPr>
                <w:rFonts w:hint="default" w:ascii="宋体" w:hAnsi="宋体" w:eastAsia="宋体" w:cs="宋体"/>
                <w:bCs/>
                <w:color w:val="auto"/>
                <w:sz w:val="18"/>
                <w:lang w:eastAsia="zh-CN"/>
              </w:rPr>
              <w:t>。</w:t>
            </w: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18"/>
                <w:szCs w:val="18"/>
                <w:u w:val="none"/>
                <w:lang w:val="en-US" w:eastAsia="zh-CN" w:bidi="ar"/>
              </w:rPr>
              <w:t>了解口腔固定修复的临床诊疗内容，熟悉口腔固定修复的基本理论及其相关知识，掌握常用固定修复体的制作流程和工艺技术，能进行口腔固定修复体制作，完成口腔固定修复体制作的综合性任务，能初步分析和解决口腔固定修复体制作实践中的常见问题，能读懂义齿制作单，能按照规定标准检测固定修复体制作质量，初步具有医技沟通、仓储管理及产品销售能力</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7</w:t>
            </w:r>
          </w:p>
        </w:tc>
        <w:tc>
          <w:tcPr>
            <w:tcW w:w="113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color w:val="000000"/>
                <w:sz w:val="21"/>
                <w:szCs w:val="21"/>
              </w:rPr>
            </w:pPr>
            <w:r>
              <w:rPr>
                <w:rFonts w:hint="eastAsia" w:ascii="宋体" w:hAnsi="宋体" w:eastAsia="宋体" w:cs="宋体"/>
                <w:i w:val="0"/>
                <w:iCs w:val="0"/>
                <w:color w:val="auto"/>
                <w:kern w:val="0"/>
                <w:sz w:val="18"/>
                <w:szCs w:val="18"/>
                <w:u w:val="none"/>
                <w:lang w:val="en-US" w:eastAsia="zh-CN" w:bidi="ar"/>
              </w:rPr>
              <w:t>全口义齿修复工艺技术</w:t>
            </w:r>
          </w:p>
        </w:tc>
        <w:tc>
          <w:tcPr>
            <w:tcW w:w="3223" w:type="dxa"/>
            <w:noWrap w:val="0"/>
            <w:vAlign w:val="center"/>
          </w:tcPr>
          <w:p>
            <w:pPr>
              <w:jc w:val="left"/>
              <w:rPr>
                <w:rFonts w:hint="eastAsia" w:ascii="宋体" w:hAnsi="宋体" w:eastAsia="宋体" w:cs="宋体"/>
                <w:b/>
                <w:color w:val="auto"/>
                <w:sz w:val="21"/>
                <w:szCs w:val="21"/>
              </w:rPr>
            </w:pPr>
            <w:r>
              <w:rPr>
                <w:rFonts w:hint="eastAsia" w:ascii="宋体" w:hAnsi="宋体" w:eastAsia="宋体" w:cs="宋体"/>
                <w:bCs/>
                <w:color w:val="auto"/>
                <w:sz w:val="18"/>
              </w:rPr>
              <w:t>课程是口腔</w:t>
            </w:r>
            <w:r>
              <w:rPr>
                <w:rFonts w:hint="eastAsia" w:ascii="宋体" w:hAnsi="宋体" w:eastAsia="宋体" w:cs="宋体"/>
                <w:bCs/>
                <w:color w:val="auto"/>
                <w:sz w:val="18"/>
                <w:lang w:val="en-US" w:eastAsia="zh-Hans"/>
              </w:rPr>
              <w:t>修复</w:t>
            </w:r>
            <w:r>
              <w:rPr>
                <w:rFonts w:hint="eastAsia" w:ascii="宋体" w:hAnsi="宋体" w:eastAsia="宋体" w:cs="宋体"/>
                <w:bCs/>
                <w:color w:val="auto"/>
                <w:sz w:val="18"/>
              </w:rPr>
              <w:t>专业的专业主干核心课程。目标是培养学生能运用全口义齿修复工艺学的基本理论，掌握全口义齿修复的基本技能，具备制作全口义齿的能力。通过本课程的教学，应使学生能较熟练的制作各种全口义齿，具有熟练的岗位操作技能，同时具有团结协作的精神和严谨认真的工作作风，以适应于岗位需求。</w:t>
            </w: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18"/>
                <w:szCs w:val="18"/>
                <w:u w:val="none"/>
                <w:lang w:val="en-US" w:eastAsia="zh-CN" w:bidi="ar"/>
              </w:rPr>
              <w:t>掌握无牙颌解剖特征、全口义齿的基本结构、固位原理、颌位关系的记录与转移、以及全口义齿制作的各环节。教师在授课中应适当选取部分临床全口义齿修复病例,对讲授的重难点内容进行阐述,并以理论加实训的教学模式,使学生切实掌握全口义齿制作技术。</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FF0000"/>
                <w:kern w:val="2"/>
                <w:sz w:val="20"/>
                <w:szCs w:val="20"/>
                <w:lang w:eastAsia="zh-CN" w:bidi="ar-SA"/>
              </w:rPr>
            </w:pPr>
            <w:r>
              <w:rPr>
                <w:rFonts w:hint="default" w:ascii="仿宋" w:hAnsi="仿宋" w:eastAsia="仿宋" w:cs="仿宋"/>
                <w:i w:val="0"/>
                <w:iCs w:val="0"/>
                <w:color w:val="FF0000"/>
                <w:kern w:val="0"/>
                <w:sz w:val="20"/>
                <w:szCs w:val="20"/>
                <w:u w:val="none"/>
                <w:lang w:eastAsia="zh-CN" w:bidi="ar"/>
              </w:rPr>
              <w:t>80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8</w:t>
            </w:r>
          </w:p>
        </w:tc>
        <w:tc>
          <w:tcPr>
            <w:tcW w:w="113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color w:val="000000"/>
                <w:sz w:val="21"/>
                <w:szCs w:val="21"/>
              </w:rPr>
            </w:pPr>
            <w:r>
              <w:rPr>
                <w:rFonts w:hint="eastAsia" w:ascii="宋体" w:hAnsi="宋体" w:eastAsia="宋体" w:cs="宋体"/>
                <w:i w:val="0"/>
                <w:iCs w:val="0"/>
                <w:color w:val="auto"/>
                <w:kern w:val="0"/>
                <w:sz w:val="18"/>
                <w:szCs w:val="18"/>
                <w:u w:val="none"/>
                <w:lang w:val="en-US" w:eastAsia="zh-CN" w:bidi="ar"/>
              </w:rPr>
              <w:t>可摘义齿修复工艺技术</w:t>
            </w:r>
          </w:p>
        </w:tc>
        <w:tc>
          <w:tcPr>
            <w:tcW w:w="3223" w:type="dxa"/>
            <w:noWrap w:val="0"/>
            <w:vAlign w:val="center"/>
          </w:tcPr>
          <w:p>
            <w:pPr>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Cs/>
                <w:color w:val="auto"/>
                <w:sz w:val="18"/>
              </w:rPr>
              <w:t>本课程</w:t>
            </w:r>
            <w:r>
              <w:rPr>
                <w:rFonts w:hint="eastAsia" w:ascii="宋体" w:hAnsi="宋体" w:eastAsia="宋体" w:cs="宋体"/>
                <w:i w:val="0"/>
                <w:iCs w:val="0"/>
                <w:color w:val="auto"/>
                <w:kern w:val="0"/>
                <w:sz w:val="18"/>
                <w:szCs w:val="18"/>
                <w:u w:val="none"/>
                <w:lang w:val="en-US" w:eastAsia="zh-CN" w:bidi="ar"/>
              </w:rPr>
              <w:t>一门必修的专业课程</w:t>
            </w:r>
            <w:r>
              <w:rPr>
                <w:rFonts w:hint="default" w:ascii="宋体" w:hAnsi="宋体" w:eastAsia="宋体" w:cs="宋体"/>
                <w:i w:val="0"/>
                <w:iCs w:val="0"/>
                <w:color w:val="auto"/>
                <w:kern w:val="0"/>
                <w:sz w:val="18"/>
                <w:szCs w:val="18"/>
                <w:u w:val="none"/>
                <w:lang w:eastAsia="zh-CN" w:bidi="ar"/>
              </w:rPr>
              <w:t>，</w:t>
            </w:r>
            <w:r>
              <w:rPr>
                <w:rFonts w:hint="eastAsia" w:ascii="宋体" w:hAnsi="宋体" w:eastAsia="宋体" w:cs="宋体"/>
                <w:i w:val="0"/>
                <w:iCs w:val="0"/>
                <w:color w:val="auto"/>
                <w:kern w:val="0"/>
                <w:sz w:val="18"/>
                <w:szCs w:val="18"/>
                <w:u w:val="none"/>
                <w:lang w:val="en-US" w:eastAsia="zh-CN" w:bidi="ar"/>
              </w:rPr>
              <w:t>它的主要内容包括几种主要应用于临床的可摘局部义齿的设计，制作及修理，通过本课程的学习，学生初步了解并掌握两种可摘局部义齿的设计，制作及修理的理论知识，并结合实验课予以掌握。</w:t>
            </w:r>
          </w:p>
          <w:p>
            <w:pPr>
              <w:jc w:val="left"/>
              <w:rPr>
                <w:rFonts w:hint="eastAsia" w:ascii="宋体" w:hAnsi="宋体" w:eastAsia="宋体" w:cs="宋体"/>
                <w:b/>
                <w:color w:val="auto"/>
                <w:sz w:val="21"/>
                <w:szCs w:val="21"/>
              </w:rPr>
            </w:pP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18"/>
                <w:lang w:eastAsia="zh-Hans"/>
              </w:rPr>
            </w:pPr>
            <w:r>
              <w:rPr>
                <w:rFonts w:hint="eastAsia" w:ascii="宋体" w:hAnsi="宋体" w:eastAsia="宋体" w:cs="宋体"/>
                <w:i w:val="0"/>
                <w:iCs w:val="0"/>
                <w:color w:val="000000"/>
                <w:kern w:val="0"/>
                <w:sz w:val="18"/>
                <w:szCs w:val="18"/>
                <w:u w:val="none"/>
                <w:lang w:val="en-US" w:eastAsia="zh-CN" w:bidi="ar"/>
              </w:rPr>
              <w:t>了解口腔可摘义齿修复的基本概念和基础理论知识，熟悉可摘义齿修复的类型和基本组成，掌握各类可摘义齿修复的基本原则、修复体的设计和制作方法，能进行口腔可摘修复体制作，完成口腔可摘修复体制作的综合性任务，能初步分析和解决口腔可摘修复体制作实践中的常见问题，能读懂义齿制作单，能按照规定标准检测可摘修复体制作质量</w:t>
            </w:r>
          </w:p>
        </w:tc>
        <w:tc>
          <w:tcPr>
            <w:tcW w:w="675" w:type="dxa"/>
            <w:noWrap w:val="0"/>
            <w:vAlign w:val="center"/>
          </w:tcPr>
          <w:p>
            <w:pPr>
              <w:jc w:val="center"/>
              <w:rPr>
                <w:rFonts w:hint="eastAsia" w:ascii="仿宋" w:hAnsi="仿宋" w:eastAsia="仿宋" w:cs="仿宋"/>
                <w:b w:val="0"/>
                <w:bCs/>
                <w:color w:val="FF0000"/>
                <w:kern w:val="2"/>
                <w:sz w:val="20"/>
                <w:szCs w:val="20"/>
                <w:lang w:val="en-US" w:eastAsia="zh-CN" w:bidi="ar-SA"/>
              </w:rPr>
            </w:pPr>
            <w:r>
              <w:rPr>
                <w:rFonts w:hint="eastAsia" w:ascii="仿宋" w:hAnsi="仿宋" w:eastAsia="仿宋" w:cs="仿宋"/>
                <w:b w:val="0"/>
                <w:bCs/>
                <w:color w:val="FF0000"/>
                <w:sz w:val="20"/>
                <w:szCs w:val="20"/>
                <w:lang w:val="en-US" w:eastAsia="zh-CN"/>
              </w:rPr>
              <w:t>144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9</w:t>
            </w:r>
          </w:p>
        </w:tc>
        <w:tc>
          <w:tcPr>
            <w:tcW w:w="1130" w:type="dxa"/>
            <w:noWrap w:val="0"/>
            <w:vAlign w:val="center"/>
          </w:tcPr>
          <w:p>
            <w:pPr>
              <w:jc w:val="center"/>
              <w:rPr>
                <w:rFonts w:hint="eastAsia" w:ascii="仿宋" w:hAnsi="仿宋" w:eastAsia="仿宋" w:cs="仿宋"/>
                <w:b/>
                <w:color w:val="000000"/>
                <w:sz w:val="21"/>
                <w:szCs w:val="21"/>
              </w:rPr>
            </w:pPr>
            <w:r>
              <w:rPr>
                <w:rFonts w:hint="eastAsia" w:ascii="宋体" w:hAnsi="宋体" w:eastAsia="宋体" w:cs="宋体"/>
                <w:i w:val="0"/>
                <w:iCs w:val="0"/>
                <w:color w:val="auto"/>
                <w:kern w:val="0"/>
                <w:sz w:val="18"/>
                <w:szCs w:val="18"/>
                <w:u w:val="none"/>
                <w:lang w:val="en-US" w:eastAsia="zh-CN" w:bidi="ar"/>
              </w:rPr>
              <w:t>口腔正畸工艺技术</w:t>
            </w:r>
          </w:p>
        </w:tc>
        <w:tc>
          <w:tcPr>
            <w:tcW w:w="3223" w:type="dxa"/>
            <w:noWrap w:val="0"/>
            <w:vAlign w:val="center"/>
          </w:tcPr>
          <w:p>
            <w:pPr>
              <w:jc w:val="left"/>
              <w:rPr>
                <w:rFonts w:hint="eastAsia" w:ascii="宋体" w:hAnsi="宋体" w:eastAsia="宋体" w:cs="宋体"/>
                <w:b/>
                <w:color w:val="auto"/>
                <w:sz w:val="21"/>
                <w:szCs w:val="21"/>
                <w:lang w:val="en-US" w:eastAsia="zh-Hans"/>
              </w:rPr>
            </w:pPr>
            <w:r>
              <w:rPr>
                <w:rFonts w:hint="eastAsia" w:ascii="宋体" w:hAnsi="宋体" w:eastAsia="宋体" w:cs="宋体"/>
                <w:bCs/>
                <w:color w:val="auto"/>
                <w:sz w:val="18"/>
              </w:rPr>
              <w:t>本课程</w:t>
            </w:r>
            <w:r>
              <w:rPr>
                <w:rFonts w:hint="eastAsia" w:ascii="宋体" w:hAnsi="宋体" w:eastAsia="宋体" w:cs="宋体"/>
                <w:bCs/>
                <w:color w:val="auto"/>
                <w:sz w:val="18"/>
                <w:lang w:val="en-US" w:eastAsia="zh-Hans"/>
              </w:rPr>
              <w:t>是口腔修复</w:t>
            </w:r>
            <w:r>
              <w:rPr>
                <w:rFonts w:hint="eastAsia" w:ascii="宋体" w:hAnsi="宋体" w:eastAsia="宋体" w:cs="宋体"/>
                <w:bCs/>
                <w:color w:val="auto"/>
                <w:sz w:val="18"/>
                <w:lang w:eastAsia="zh-Hans"/>
              </w:rPr>
              <w:t>专业核心课程之一、分为基本技能和基本论两个模块，它是研究错牙合畸形的病因、 症状、诊断、预防修复治疗的临床医学科学可以使学生掌握本专业的基础理论知识，培养学生掌握与就业相接轨的实践能力。</w:t>
            </w:r>
          </w:p>
        </w:tc>
        <w:tc>
          <w:tcPr>
            <w:tcW w:w="382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18"/>
                <w:szCs w:val="18"/>
                <w:u w:val="none"/>
                <w:lang w:val="en-US" w:eastAsia="zh-CN" w:bidi="ar"/>
              </w:rPr>
              <w:t>了解牙颌的正常和异常表现，熟悉错 畸形的病因、分类及早期预防矫治原则，掌握常用矫治器和保持器的制作技术。会阅读矫治器设计图，能制作常见可摘和固定矫治器及保持器</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val="0"/>
                <w:bCs/>
                <w:color w:val="FF0000"/>
                <w:kern w:val="2"/>
                <w:sz w:val="20"/>
                <w:szCs w:val="20"/>
                <w:lang w:eastAsia="zh-CN" w:bidi="ar-SA"/>
              </w:rPr>
            </w:pPr>
            <w:r>
              <w:rPr>
                <w:rFonts w:hint="default" w:ascii="黑体" w:hAnsi="宋体" w:eastAsia="黑体" w:cs="黑体"/>
                <w:i w:val="0"/>
                <w:iCs w:val="0"/>
                <w:color w:val="FF0000"/>
                <w:kern w:val="0"/>
                <w:sz w:val="20"/>
                <w:szCs w:val="20"/>
                <w:u w:val="none"/>
                <w:lang w:eastAsia="zh-CN" w:bidi="ar"/>
              </w:rPr>
              <w:t>80</w:t>
            </w:r>
          </w:p>
        </w:tc>
      </w:tr>
    </w:tbl>
    <w:p>
      <w:pPr>
        <w:overflowPunct w:val="0"/>
        <w:adjustRightInd w:val="0"/>
        <w:ind w:firstLine="480" w:firstLineChars="200"/>
        <w:outlineLvl w:val="0"/>
        <w:rPr>
          <w:rFonts w:hint="default" w:eastAsia="楷体_GB2312"/>
          <w:b/>
          <w:sz w:val="24"/>
          <w:szCs w:val="24"/>
          <w:lang w:val="en-US" w:eastAsia="zh-CN"/>
        </w:rPr>
      </w:pPr>
      <w:r>
        <w:rPr>
          <w:rFonts w:eastAsia="楷体_GB2312"/>
          <w:b/>
          <w:sz w:val="24"/>
          <w:szCs w:val="24"/>
        </w:rPr>
        <w:t>（</w:t>
      </w:r>
      <w:r>
        <w:rPr>
          <w:rFonts w:hint="eastAsia" w:eastAsia="楷体_GB2312"/>
          <w:b/>
          <w:sz w:val="24"/>
          <w:szCs w:val="24"/>
          <w:lang w:val="en-US" w:eastAsia="zh-CN"/>
        </w:rPr>
        <w:t>三</w:t>
      </w:r>
      <w:r>
        <w:rPr>
          <w:rFonts w:eastAsia="楷体_GB2312"/>
          <w:b/>
          <w:sz w:val="24"/>
          <w:szCs w:val="24"/>
        </w:rPr>
        <w:t>）</w:t>
      </w:r>
      <w:r>
        <w:rPr>
          <w:rFonts w:hint="eastAsia" w:eastAsia="楷体_GB2312"/>
          <w:b/>
          <w:sz w:val="24"/>
          <w:szCs w:val="24"/>
          <w:lang w:val="en-US" w:eastAsia="zh-CN"/>
        </w:rPr>
        <w:t>课程设置特色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1.公共基础选修课分为公共限定选修课和公共任意选修课，根据学生自身发展的需要和兴趣爱好选择，每课程需达到达到2学分才修完。公共限定选修课，由《法律基础知识》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大别山红色教育读本</w:t>
      </w:r>
      <w:r>
        <w:rPr>
          <w:rFonts w:hint="eastAsia" w:ascii="仿宋" w:hAnsi="仿宋" w:eastAsia="仿宋" w:cs="仿宋"/>
          <w:sz w:val="24"/>
          <w:szCs w:val="24"/>
          <w:lang w:eastAsia="zh-CN"/>
        </w:rPr>
        <w:t>》、</w:t>
      </w:r>
      <w:r>
        <w:rPr>
          <w:rFonts w:hint="eastAsia" w:ascii="仿宋" w:hAnsi="仿宋" w:eastAsia="仿宋" w:cs="仿宋"/>
          <w:sz w:val="24"/>
          <w:szCs w:val="24"/>
        </w:rPr>
        <w:t>《中华优秀传统文化》《工匠精神</w:t>
      </w:r>
      <w:r>
        <w:rPr>
          <w:rFonts w:hint="eastAsia" w:ascii="仿宋" w:hAnsi="仿宋" w:eastAsia="仿宋" w:cs="仿宋"/>
          <w:sz w:val="24"/>
          <w:szCs w:val="24"/>
          <w:lang w:val="en-US" w:eastAsia="zh-CN"/>
        </w:rPr>
        <w:t>读本</w:t>
      </w:r>
      <w:r>
        <w:rPr>
          <w:rFonts w:hint="eastAsia" w:ascii="仿宋" w:hAnsi="仿宋" w:eastAsia="仿宋" w:cs="仿宋"/>
          <w:sz w:val="24"/>
          <w:szCs w:val="24"/>
        </w:rPr>
        <w:t>》以及专业相关的课程《</w:t>
      </w:r>
      <w:r>
        <w:rPr>
          <w:rFonts w:hint="eastAsia" w:ascii="仿宋" w:hAnsi="仿宋" w:eastAsia="仿宋" w:cs="仿宋"/>
          <w:sz w:val="24"/>
          <w:szCs w:val="24"/>
          <w:lang w:val="en-US" w:eastAsia="zh-CN"/>
        </w:rPr>
        <w:t>中职生职业素养</w:t>
      </w:r>
      <w:r>
        <w:rPr>
          <w:rFonts w:hint="eastAsia" w:ascii="仿宋" w:hAnsi="仿宋" w:eastAsia="仿宋" w:cs="仿宋"/>
          <w:sz w:val="24"/>
          <w:szCs w:val="24"/>
        </w:rPr>
        <w:t>》组成，占6学分，需要108学时；公共任意选修课（四选二）由《</w:t>
      </w:r>
      <w:r>
        <w:rPr>
          <w:rFonts w:hint="eastAsia" w:ascii="仿宋" w:hAnsi="仿宋" w:eastAsia="仿宋" w:cs="仿宋"/>
          <w:sz w:val="24"/>
          <w:szCs w:val="24"/>
          <w:lang w:val="en-US" w:eastAsia="zh-CN"/>
        </w:rPr>
        <w:t>人文素养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科学素养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《中国书法》《职业礼仪》组成，占4学分，需要72学时。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2.专业选修拓展课分为专业课选修课和专业方向选修课，根据学生学生专业发展的规划和兴趣爱好选择。专业课选修课（二选一），占2学分，需要36学时；专业方向选修课，占11学分,需要198学时。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共实践课程是一项具有专业特点的实践性教学，也是学生获得教育实践知识和技能，树立正确价值观，形成良好职业认同感，培养与提高实际工作能力和创新能力的重要实践教学环节。由《国防教育》《社会实践》《劳动服务周》《毕业教育》组成，占18学分，需要2新学时</w:t>
      </w:r>
      <w:r>
        <w:rPr>
          <w:rFonts w:hint="default" w:ascii="仿宋" w:hAnsi="仿宋" w:eastAsia="仿宋" w:cs="仿宋"/>
          <w:sz w:val="24"/>
          <w:szCs w:val="24"/>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both"/>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七、课程进程总体安排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sz w:val="24"/>
          <w:szCs w:val="24"/>
        </w:rPr>
      </w:pP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lang w:val="en-US" w:eastAsia="zh-CN"/>
        </w:rPr>
        <w:t>一</w:t>
      </w: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rPr>
        <w:t>教学活动周安排</w:t>
      </w:r>
    </w:p>
    <w:p>
      <w:pPr>
        <w:pStyle w:val="8"/>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0"/>
          <w:w w:val="100"/>
          <w:position w:val="0"/>
          <w:sz w:val="24"/>
          <w:szCs w:val="24"/>
        </w:rPr>
        <w:t>表</w:t>
      </w:r>
      <w:r>
        <w:rPr>
          <w:rFonts w:hint="eastAsia" w:ascii="仿宋" w:hAnsi="仿宋" w:eastAsia="仿宋" w:cs="仿宋"/>
          <w:b w:val="0"/>
          <w:bCs w:val="0"/>
          <w:color w:val="auto"/>
          <w:spacing w:val="0"/>
          <w:w w:val="100"/>
          <w:position w:val="0"/>
          <w:sz w:val="24"/>
          <w:szCs w:val="24"/>
          <w:lang w:val="en-US" w:eastAsia="en-US" w:bidi="en-US"/>
        </w:rPr>
        <w:t>3-1</w:t>
      </w:r>
      <w:r>
        <w:rPr>
          <w:rFonts w:hint="eastAsia" w:ascii="仿宋" w:hAnsi="仿宋" w:eastAsia="仿宋" w:cs="仿宋"/>
          <w:b w:val="0"/>
          <w:bCs w:val="0"/>
          <w:color w:val="auto"/>
          <w:spacing w:val="0"/>
          <w:w w:val="100"/>
          <w:position w:val="0"/>
          <w:sz w:val="24"/>
          <w:szCs w:val="24"/>
        </w:rPr>
        <w:t>教育教学活动按周分配表</w:t>
      </w:r>
    </w:p>
    <w:tbl>
      <w:tblPr>
        <w:tblStyle w:val="4"/>
        <w:tblW w:w="0" w:type="auto"/>
        <w:jc w:val="center"/>
        <w:tblLayout w:type="fixed"/>
        <w:tblCellMar>
          <w:top w:w="0" w:type="dxa"/>
          <w:left w:w="10" w:type="dxa"/>
          <w:bottom w:w="0" w:type="dxa"/>
          <w:right w:w="10" w:type="dxa"/>
        </w:tblCellMar>
      </w:tblPr>
      <w:tblGrid>
        <w:gridCol w:w="870"/>
        <w:gridCol w:w="870"/>
        <w:gridCol w:w="855"/>
        <w:gridCol w:w="870"/>
        <w:gridCol w:w="870"/>
        <w:gridCol w:w="870"/>
        <w:gridCol w:w="870"/>
        <w:gridCol w:w="855"/>
        <w:gridCol w:w="870"/>
        <w:gridCol w:w="900"/>
      </w:tblGrid>
      <w:tr>
        <w:trPr>
          <w:trHeight w:val="560" w:hRule="exact"/>
          <w:jc w:val="center"/>
        </w:trPr>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学年</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00"/>
              <w:jc w:val="left"/>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学期</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lang w:val="en-US" w:eastAsia="zh-CN"/>
              </w:rPr>
            </w:pPr>
            <w:r>
              <w:rPr>
                <w:rFonts w:hint="eastAsia" w:ascii="仿宋" w:hAnsi="仿宋" w:eastAsia="仿宋" w:cs="仿宋"/>
                <w:i w:val="0"/>
                <w:iCs w:val="0"/>
                <w:color w:val="auto"/>
                <w:spacing w:val="0"/>
                <w:w w:val="100"/>
                <w:position w:val="0"/>
                <w:sz w:val="20"/>
                <w:szCs w:val="20"/>
              </w:rPr>
              <w:t>课堂教学</w:t>
            </w:r>
            <w:r>
              <w:rPr>
                <w:rFonts w:hint="eastAsia" w:ascii="仿宋" w:hAnsi="仿宋" w:eastAsia="仿宋" w:cs="仿宋"/>
                <w:i w:val="0"/>
                <w:iCs w:val="0"/>
                <w:color w:val="auto"/>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国防教育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lang w:val="en-US" w:eastAsia="zh-CN"/>
              </w:rPr>
            </w:pPr>
            <w:r>
              <w:rPr>
                <w:rFonts w:hint="eastAsia" w:ascii="仿宋" w:hAnsi="仿宋" w:eastAsia="仿宋" w:cs="仿宋"/>
                <w:i w:val="0"/>
                <w:iCs w:val="0"/>
                <w:color w:val="auto"/>
                <w:spacing w:val="0"/>
                <w:w w:val="100"/>
                <w:position w:val="0"/>
                <w:sz w:val="20"/>
                <w:szCs w:val="20"/>
              </w:rPr>
              <w:t>劳动服务</w:t>
            </w:r>
            <w:r>
              <w:rPr>
                <w:rFonts w:hint="eastAsia" w:ascii="仿宋" w:hAnsi="仿宋" w:eastAsia="仿宋" w:cs="仿宋"/>
                <w:i w:val="0"/>
                <w:iCs w:val="0"/>
                <w:color w:val="auto"/>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lang w:val="en-US" w:eastAsia="zh-CN"/>
              </w:rPr>
            </w:pPr>
            <w:r>
              <w:rPr>
                <w:rFonts w:hint="eastAsia" w:ascii="仿宋" w:hAnsi="仿宋" w:eastAsia="仿宋" w:cs="仿宋"/>
                <w:i w:val="0"/>
                <w:iCs w:val="0"/>
                <w:color w:val="auto"/>
                <w:spacing w:val="0"/>
                <w:w w:val="100"/>
                <w:position w:val="0"/>
                <w:sz w:val="20"/>
                <w:szCs w:val="20"/>
              </w:rPr>
              <w:t>社会实践</w:t>
            </w:r>
            <w:r>
              <w:rPr>
                <w:rFonts w:hint="eastAsia" w:ascii="仿宋" w:hAnsi="仿宋" w:eastAsia="仿宋" w:cs="仿宋"/>
                <w:i w:val="0"/>
                <w:iCs w:val="0"/>
                <w:color w:val="auto"/>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毕业教育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技能鉴定</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岗位实习</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color w:val="auto"/>
                <w:sz w:val="20"/>
                <w:szCs w:val="20"/>
              </w:rPr>
            </w:pPr>
            <w:r>
              <w:rPr>
                <w:rFonts w:hint="eastAsia" w:ascii="仿宋" w:hAnsi="仿宋" w:eastAsia="仿宋" w:cs="仿宋"/>
                <w:i w:val="0"/>
                <w:iCs w:val="0"/>
                <w:color w:val="auto"/>
                <w:spacing w:val="0"/>
                <w:w w:val="100"/>
                <w:position w:val="0"/>
                <w:sz w:val="20"/>
                <w:szCs w:val="20"/>
              </w:rPr>
              <w:t>总教学周数</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180" w:after="0" w:line="240" w:lineRule="auto"/>
              <w:ind w:left="0" w:right="0" w:firstLine="3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color w:val="auto"/>
                <w:sz w:val="20"/>
                <w:szCs w:val="20"/>
                <w:lang w:val="en-US" w:eastAsia="zh-CN"/>
              </w:rPr>
            </w:pPr>
            <w:r>
              <w:rPr>
                <w:rFonts w:hint="eastAsia" w:ascii="仿宋" w:hAnsi="仿宋" w:eastAsia="仿宋" w:cs="仿宋"/>
                <w:b w:val="0"/>
                <w:bCs w:val="0"/>
                <w:i w:val="0"/>
                <w:iCs w:val="0"/>
                <w:color w:val="auto"/>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二</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三</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color w:val="auto"/>
                <w:sz w:val="20"/>
                <w:szCs w:val="20"/>
                <w:lang w:val="en-US"/>
              </w:rPr>
            </w:pPr>
            <w:r>
              <w:rPr>
                <w:rFonts w:hint="eastAsia" w:ascii="仿宋" w:hAnsi="仿宋" w:eastAsia="仿宋" w:cs="仿宋"/>
                <w:b w:val="0"/>
                <w:bCs w:val="0"/>
                <w:i w:val="0"/>
                <w:iCs w:val="0"/>
                <w:color w:val="auto"/>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6</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color w:val="auto"/>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pacing w:val="0"/>
                <w:w w:val="100"/>
                <w:position w:val="0"/>
                <w:sz w:val="20"/>
                <w:szCs w:val="20"/>
              </w:rPr>
            </w:pPr>
            <w:r>
              <w:rPr>
                <w:rFonts w:hint="eastAsia" w:ascii="仿宋" w:hAnsi="仿宋" w:eastAsia="仿宋" w:cs="仿宋"/>
                <w:b w:val="0"/>
                <w:bCs w:val="0"/>
                <w:i w:val="0"/>
                <w:iCs w:val="0"/>
                <w:color w:val="auto"/>
                <w:spacing w:val="0"/>
                <w:w w:val="100"/>
                <w:position w:val="0"/>
                <w:sz w:val="20"/>
                <w:szCs w:val="20"/>
              </w:rPr>
              <w:t>24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24</w:t>
            </w:r>
          </w:p>
        </w:tc>
      </w:tr>
      <w:tr>
        <w:trPr>
          <w:trHeight w:val="283"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lang w:val="en-US" w:eastAsia="zh-CN"/>
              </w:rPr>
              <w:t>合</w:t>
            </w:r>
            <w:r>
              <w:rPr>
                <w:rFonts w:hint="eastAsia" w:ascii="仿宋" w:hAnsi="仿宋" w:eastAsia="仿宋" w:cs="仿宋"/>
                <w:b w:val="0"/>
                <w:bCs w:val="0"/>
                <w:i w:val="0"/>
                <w:iCs w:val="0"/>
                <w:color w:val="auto"/>
                <w:spacing w:val="0"/>
                <w:w w:val="100"/>
                <w:position w:val="0"/>
                <w:sz w:val="20"/>
                <w:szCs w:val="20"/>
              </w:rPr>
              <w:t>计</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default" w:ascii="仿宋" w:hAnsi="仿宋" w:eastAsia="仿宋" w:cs="仿宋"/>
                <w:b w:val="0"/>
                <w:bCs w:val="0"/>
                <w:i w:val="0"/>
                <w:iCs w:val="0"/>
                <w:color w:val="auto"/>
                <w:sz w:val="20"/>
                <w:szCs w:val="20"/>
                <w:lang w:val="en-US" w:eastAsia="zh-CN"/>
              </w:rPr>
            </w:pPr>
            <w:r>
              <w:rPr>
                <w:rFonts w:hint="eastAsia" w:ascii="仿宋" w:hAnsi="仿宋" w:eastAsia="仿宋" w:cs="仿宋"/>
                <w:b w:val="0"/>
                <w:bCs w:val="0"/>
                <w:i w:val="0"/>
                <w:iCs w:val="0"/>
                <w:color w:val="auto"/>
                <w:spacing w:val="0"/>
                <w:w w:val="100"/>
                <w:position w:val="0"/>
                <w:sz w:val="20"/>
                <w:szCs w:val="20"/>
                <w:lang w:val="en-US" w:eastAsia="zh-CN" w:bidi="en-US"/>
              </w:rPr>
              <w:t>90</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5</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2</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auto"/>
                <w:sz w:val="20"/>
                <w:szCs w:val="20"/>
              </w:rPr>
            </w:pPr>
            <w:r>
              <w:rPr>
                <w:rFonts w:hint="eastAsia" w:ascii="仿宋" w:hAnsi="仿宋" w:eastAsia="仿宋" w:cs="仿宋"/>
                <w:b w:val="0"/>
                <w:bCs w:val="0"/>
                <w:i w:val="0"/>
                <w:iCs w:val="0"/>
                <w:color w:val="auto"/>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bidi w:val="0"/>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124</w:t>
            </w:r>
          </w:p>
        </w:tc>
      </w:tr>
    </w:tbl>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楷体" w:hAnsi="楷体" w:eastAsia="楷体" w:cs="楷体"/>
          <w:b/>
          <w:bCs/>
          <w:color w:val="auto"/>
          <w:sz w:val="24"/>
          <w:szCs w:val="24"/>
        </w:rPr>
      </w:pPr>
      <w:r>
        <w:rPr>
          <w:rFonts w:hint="eastAsia" w:ascii="楷体" w:hAnsi="楷体" w:eastAsia="楷体" w:cs="楷体"/>
          <w:b/>
          <w:bCs/>
          <w:color w:val="auto"/>
          <w:spacing w:val="0"/>
          <w:w w:val="100"/>
          <w:position w:val="0"/>
          <w:sz w:val="24"/>
          <w:szCs w:val="24"/>
          <w:lang w:eastAsia="zh-CN"/>
        </w:rPr>
        <w:t>（</w:t>
      </w:r>
      <w:r>
        <w:rPr>
          <w:rFonts w:hint="eastAsia" w:ascii="楷体" w:hAnsi="楷体" w:eastAsia="楷体" w:cs="楷体"/>
          <w:b/>
          <w:bCs/>
          <w:color w:val="auto"/>
          <w:spacing w:val="0"/>
          <w:w w:val="100"/>
          <w:position w:val="0"/>
          <w:sz w:val="24"/>
          <w:szCs w:val="24"/>
          <w:lang w:val="en-US" w:eastAsia="zh-CN"/>
        </w:rPr>
        <w:t>二</w:t>
      </w:r>
      <w:r>
        <w:rPr>
          <w:rFonts w:hint="eastAsia" w:ascii="楷体" w:hAnsi="楷体" w:eastAsia="楷体" w:cs="楷体"/>
          <w:b/>
          <w:bCs/>
          <w:color w:val="auto"/>
          <w:spacing w:val="0"/>
          <w:w w:val="100"/>
          <w:position w:val="0"/>
          <w:sz w:val="24"/>
          <w:szCs w:val="24"/>
          <w:lang w:eastAsia="zh-CN"/>
        </w:rPr>
        <w:t>）</w:t>
      </w:r>
      <w:r>
        <w:rPr>
          <w:rFonts w:hint="eastAsia" w:ascii="楷体" w:hAnsi="楷体" w:eastAsia="楷体" w:cs="楷体"/>
          <w:b/>
          <w:bCs/>
          <w:color w:val="auto"/>
          <w:spacing w:val="0"/>
          <w:w w:val="100"/>
          <w:position w:val="0"/>
          <w:sz w:val="24"/>
          <w:szCs w:val="24"/>
        </w:rPr>
        <w:t>教学进程总体安排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0"/>
          <w:w w:val="100"/>
          <w:position w:val="0"/>
          <w:sz w:val="24"/>
          <w:szCs w:val="24"/>
          <w:lang w:val="zh-CN" w:eastAsia="zh-CN" w:bidi="zh-CN"/>
        </w:rPr>
        <w:t>附录</w:t>
      </w:r>
      <w:r>
        <w:rPr>
          <w:rFonts w:hint="eastAsia" w:ascii="仿宋" w:hAnsi="仿宋" w:eastAsia="仿宋" w:cs="仿宋"/>
          <w:b w:val="0"/>
          <w:bCs w:val="0"/>
          <w:color w:val="auto"/>
          <w:spacing w:val="0"/>
          <w:w w:val="100"/>
          <w:position w:val="0"/>
          <w:sz w:val="24"/>
          <w:szCs w:val="24"/>
          <w:lang w:val="en-US" w:eastAsia="zh-CN" w:bidi="zh-CN"/>
        </w:rPr>
        <w:t>1：</w:t>
      </w:r>
      <w:r>
        <w:rPr>
          <w:rFonts w:hint="eastAsia" w:ascii="仿宋" w:hAnsi="仿宋" w:eastAsia="仿宋" w:cs="仿宋"/>
          <w:b w:val="0"/>
          <w:bCs w:val="0"/>
          <w:color w:val="auto"/>
          <w:spacing w:val="0"/>
          <w:w w:val="100"/>
          <w:position w:val="0"/>
          <w:sz w:val="24"/>
          <w:szCs w:val="24"/>
        </w:rPr>
        <w:t>教学总体安排表</w:t>
      </w:r>
    </w:p>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pacing w:val="0"/>
          <w:w w:val="100"/>
          <w:position w:val="0"/>
          <w:sz w:val="24"/>
          <w:szCs w:val="24"/>
          <w:lang w:eastAsia="zh-CN"/>
        </w:rPr>
        <w:t>（</w:t>
      </w:r>
      <w:r>
        <w:rPr>
          <w:rFonts w:hint="eastAsia" w:ascii="楷体" w:hAnsi="楷体" w:eastAsia="楷体" w:cs="楷体"/>
          <w:b/>
          <w:bCs/>
          <w:color w:val="auto"/>
          <w:spacing w:val="0"/>
          <w:w w:val="100"/>
          <w:position w:val="0"/>
          <w:sz w:val="24"/>
          <w:szCs w:val="24"/>
          <w:lang w:val="en-US" w:eastAsia="zh-CN"/>
        </w:rPr>
        <w:t>三</w:t>
      </w:r>
      <w:r>
        <w:rPr>
          <w:rFonts w:hint="eastAsia" w:ascii="楷体" w:hAnsi="楷体" w:eastAsia="楷体" w:cs="楷体"/>
          <w:b/>
          <w:bCs/>
          <w:color w:val="auto"/>
          <w:spacing w:val="0"/>
          <w:w w:val="100"/>
          <w:position w:val="0"/>
          <w:sz w:val="24"/>
          <w:szCs w:val="24"/>
          <w:lang w:eastAsia="zh-CN"/>
        </w:rPr>
        <w:t>）</w:t>
      </w:r>
      <w:r>
        <w:rPr>
          <w:rFonts w:hint="eastAsia" w:ascii="楷体" w:hAnsi="楷体" w:eastAsia="楷体" w:cs="楷体"/>
          <w:b/>
          <w:bCs/>
          <w:color w:val="auto"/>
          <w:spacing w:val="0"/>
          <w:w w:val="100"/>
          <w:position w:val="0"/>
          <w:sz w:val="24"/>
          <w:szCs w:val="24"/>
        </w:rPr>
        <w:t>教学学时分配表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0"/>
          <w:w w:val="100"/>
          <w:position w:val="0"/>
          <w:sz w:val="24"/>
          <w:szCs w:val="24"/>
        </w:rPr>
        <w:t>表</w:t>
      </w:r>
      <w:r>
        <w:rPr>
          <w:rFonts w:hint="eastAsia" w:ascii="仿宋" w:hAnsi="仿宋" w:eastAsia="仿宋" w:cs="仿宋"/>
          <w:b w:val="0"/>
          <w:bCs w:val="0"/>
          <w:color w:val="auto"/>
          <w:spacing w:val="0"/>
          <w:w w:val="100"/>
          <w:position w:val="0"/>
          <w:sz w:val="24"/>
          <w:szCs w:val="24"/>
          <w:lang w:val="en-US" w:eastAsia="en-US" w:bidi="en-US"/>
        </w:rPr>
        <w:t>3-2</w:t>
      </w:r>
      <w:r>
        <w:rPr>
          <w:rFonts w:hint="eastAsia" w:ascii="仿宋" w:hAnsi="仿宋" w:eastAsia="仿宋" w:cs="仿宋"/>
          <w:b w:val="0"/>
          <w:bCs w:val="0"/>
          <w:color w:val="auto"/>
          <w:spacing w:val="0"/>
          <w:w w:val="100"/>
          <w:position w:val="0"/>
          <w:sz w:val="24"/>
          <w:szCs w:val="24"/>
        </w:rPr>
        <w:t>教学学时分配表</w:t>
      </w:r>
    </w:p>
    <w:tbl>
      <w:tblPr>
        <w:tblStyle w:val="4"/>
        <w:tblW w:w="8955" w:type="dxa"/>
        <w:jc w:val="center"/>
        <w:tblLayout w:type="fixed"/>
        <w:tblCellMar>
          <w:top w:w="0" w:type="dxa"/>
          <w:left w:w="10" w:type="dxa"/>
          <w:bottom w:w="0" w:type="dxa"/>
          <w:right w:w="10" w:type="dxa"/>
        </w:tblCellMar>
      </w:tblPr>
      <w:tblGrid>
        <w:gridCol w:w="675"/>
        <w:gridCol w:w="3226"/>
        <w:gridCol w:w="750"/>
        <w:gridCol w:w="809"/>
        <w:gridCol w:w="1080"/>
        <w:gridCol w:w="1170"/>
        <w:gridCol w:w="1245"/>
      </w:tblGrid>
      <w:tr>
        <w:trPr>
          <w:trHeight w:val="283" w:hRule="exact"/>
          <w:jc w:val="center"/>
        </w:trPr>
        <w:tc>
          <w:tcPr>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0" w:right="0" w:firstLine="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序号</w:t>
            </w:r>
          </w:p>
        </w:tc>
        <w:tc>
          <w:tcPr>
            <w:tcW w:w="3226" w:type="dxa"/>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1060" w:right="0" w:firstLine="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课程类别</w:t>
            </w:r>
          </w:p>
        </w:tc>
        <w:tc>
          <w:tcPr>
            <w:tcW w:w="7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60" w:right="0" w:firstLine="4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门 数</w:t>
            </w: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学时数</w:t>
            </w:r>
          </w:p>
        </w:tc>
        <w:tc>
          <w:tcPr>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20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占总学时</w:t>
            </w:r>
          </w:p>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百分比</w:t>
            </w:r>
          </w:p>
        </w:tc>
      </w:tr>
      <w:tr>
        <w:trPr>
          <w:trHeight w:val="283" w:hRule="exact"/>
          <w:jc w:val="center"/>
        </w:trPr>
        <w:tc>
          <w:tcPr>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color w:val="auto"/>
                <w:sz w:val="20"/>
                <w:szCs w:val="20"/>
              </w:rPr>
            </w:pPr>
          </w:p>
        </w:tc>
        <w:tc>
          <w:tcPr>
            <w:tcW w:w="3226" w:type="dxa"/>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color w:val="auto"/>
                <w:sz w:val="20"/>
                <w:szCs w:val="20"/>
              </w:rPr>
            </w:pPr>
          </w:p>
        </w:tc>
        <w:tc>
          <w:tcPr>
            <w:tcW w:w="750" w:type="dxa"/>
            <w:vMerge w:val="continue"/>
            <w:tcBorders>
              <w:left w:val="single" w:color="auto" w:sz="4" w:space="0"/>
            </w:tcBorders>
            <w:shd w:val="clear" w:color="auto" w:fill="FFFFFF"/>
            <w:vAlign w:val="center"/>
          </w:tcPr>
          <w:p>
            <w:pPr>
              <w:spacing w:line="240" w:lineRule="auto"/>
              <w:rPr>
                <w:rFonts w:hint="eastAsia" w:ascii="仿宋" w:hAnsi="仿宋" w:eastAsia="仿宋" w:cs="仿宋"/>
                <w:b w:val="0"/>
                <w:bCs w:val="0"/>
                <w:color w:val="auto"/>
                <w:sz w:val="20"/>
                <w:szCs w:val="20"/>
              </w:rPr>
            </w:pPr>
          </w:p>
        </w:tc>
        <w:tc>
          <w:tcPr>
            <w:tcW w:w="809"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理论</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实践</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舍计</w:t>
            </w:r>
          </w:p>
        </w:tc>
        <w:tc>
          <w:tcPr>
            <w:vMerge w:val="continue"/>
            <w:tcBorders>
              <w:left w:val="single" w:color="auto" w:sz="4" w:space="0"/>
              <w:right w:val="single" w:color="auto" w:sz="4" w:space="0"/>
            </w:tcBorders>
            <w:shd w:val="clear" w:color="auto" w:fill="FFFFFF"/>
            <w:vAlign w:val="center"/>
          </w:tcPr>
          <w:p>
            <w:pPr>
              <w:spacing w:line="240" w:lineRule="auto"/>
              <w:rPr>
                <w:rFonts w:hint="eastAsia" w:ascii="仿宋" w:hAnsi="仿宋" w:eastAsia="仿宋" w:cs="仿宋"/>
                <w:b w:val="0"/>
                <w:bCs w:val="0"/>
                <w:color w:val="auto"/>
                <w:sz w:val="20"/>
                <w:szCs w:val="20"/>
              </w:rPr>
            </w:pPr>
          </w:p>
        </w:tc>
      </w:tr>
      <w:tr>
        <w:trPr>
          <w:trHeight w:val="283"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w:t>
            </w: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公共基础课程/公共实践课程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23</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w:t>
            </w:r>
            <w:r>
              <w:rPr>
                <w:rFonts w:hint="eastAsia" w:ascii="仿宋" w:hAnsi="仿宋" w:eastAsia="仿宋" w:cs="仿宋"/>
                <w:b w:val="0"/>
                <w:bCs w:val="0"/>
                <w:color w:val="auto"/>
                <w:spacing w:val="0"/>
                <w:w w:val="100"/>
                <w:position w:val="0"/>
                <w:sz w:val="20"/>
                <w:szCs w:val="20"/>
                <w:lang w:val="en-US" w:eastAsia="zh-CN"/>
              </w:rPr>
              <w:t>0</w:t>
            </w:r>
            <w:r>
              <w:rPr>
                <w:rFonts w:hint="eastAsia" w:ascii="仿宋" w:hAnsi="仿宋" w:eastAsia="仿宋" w:cs="仿宋"/>
                <w:b w:val="0"/>
                <w:bCs w:val="0"/>
                <w:color w:val="auto"/>
                <w:spacing w:val="0"/>
                <w:w w:val="100"/>
                <w:position w:val="0"/>
                <w:sz w:val="20"/>
                <w:szCs w:val="20"/>
                <w:lang w:val="en-US" w:eastAsia="en-US" w:bidi="en-US"/>
              </w:rPr>
              <w:t>22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652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1674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bidi="en-US"/>
              </w:rPr>
              <w:t>42%</w:t>
            </w:r>
          </w:p>
        </w:tc>
      </w:tr>
      <w:tr>
        <w:trPr>
          <w:trHeight w:val="283" w:hRule="exact"/>
          <w:jc w:val="center"/>
        </w:trPr>
        <w:tc>
          <w:tcPr>
            <w:vMerge w:val="restart"/>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2</w:t>
            </w:r>
          </w:p>
        </w:tc>
        <w:tc>
          <w:tcPr>
            <w:tcW w:w="322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u w:val="none"/>
                <w:lang w:val="en-US" w:eastAsia="zh-CN"/>
              </w:rPr>
              <w:t>专业课程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22</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347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1947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2294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rPr>
              <w:t>58%</w:t>
            </w:r>
          </w:p>
        </w:tc>
      </w:tr>
      <w:tr>
        <w:trPr>
          <w:trHeight w:val="283" w:hRule="exact"/>
          <w:jc w:val="center"/>
        </w:trPr>
        <w:tc>
          <w:tcPr>
            <w:vMerge w:val="continue"/>
            <w:tcBorders>
              <w:left w:val="single" w:color="auto" w:sz="4" w:space="0"/>
            </w:tcBorders>
            <w:shd w:val="clear" w:color="auto" w:fill="FFFFFF"/>
            <w:vAlign w:val="bottom"/>
          </w:tcPr>
          <w:p>
            <w:pPr>
              <w:spacing w:line="240" w:lineRule="auto"/>
              <w:rPr>
                <w:rFonts w:hint="eastAsia" w:ascii="仿宋" w:hAnsi="仿宋" w:eastAsia="仿宋" w:cs="仿宋"/>
                <w:b w:val="0"/>
                <w:bCs w:val="0"/>
                <w:color w:val="auto"/>
                <w:sz w:val="20"/>
                <w:szCs w:val="20"/>
              </w:rPr>
            </w:pP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其中专业核心课</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8</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165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663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828</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rPr>
              <w:t>21%</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理论环节总学时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color w:val="auto"/>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1369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bidi="en-US"/>
              </w:rPr>
              <w:t>35%</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实践环节总学时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color w:val="auto"/>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2599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bidi="en-US"/>
              </w:rPr>
              <w:t>65%</w:t>
            </w:r>
          </w:p>
        </w:tc>
      </w:tr>
      <w:tr>
        <w:trPr>
          <w:trHeight w:val="283" w:hRule="exact"/>
          <w:jc w:val="center"/>
        </w:trPr>
        <w:tc>
          <w:tcPr>
            <w:tcW w:w="390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选修课总学时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color w:val="auto"/>
                <w:sz w:val="20"/>
                <w:szCs w:val="20"/>
              </w:rPr>
            </w:pPr>
          </w:p>
        </w:tc>
        <w:tc>
          <w:tcPr>
            <w:tcW w:w="305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414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color w:val="auto"/>
                <w:sz w:val="20"/>
                <w:szCs w:val="20"/>
                <w:lang w:val="en-US" w:eastAsia="zh-CN"/>
              </w:rPr>
            </w:pPr>
            <w:r>
              <w:rPr>
                <w:rFonts w:hint="eastAsia" w:ascii="仿宋" w:hAnsi="仿宋" w:eastAsia="仿宋" w:cs="仿宋"/>
                <w:b w:val="0"/>
                <w:bCs w:val="0"/>
                <w:color w:val="auto"/>
                <w:spacing w:val="0"/>
                <w:w w:val="100"/>
                <w:position w:val="0"/>
                <w:sz w:val="20"/>
                <w:szCs w:val="20"/>
                <w:lang w:val="en-US" w:eastAsia="zh-CN" w:bidi="en-US"/>
              </w:rPr>
              <w:t>10%</w:t>
            </w:r>
          </w:p>
        </w:tc>
      </w:tr>
      <w:tr>
        <w:trPr>
          <w:trHeight w:val="283" w:hRule="exact"/>
          <w:jc w:val="center"/>
        </w:trPr>
        <w:tc>
          <w:tcPr>
            <w:tcW w:w="390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教学总学时</w:t>
            </w:r>
          </w:p>
        </w:tc>
        <w:tc>
          <w:tcPr>
            <w:tcW w:w="505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pacing w:val="0"/>
                <w:w w:val="100"/>
                <w:position w:val="0"/>
                <w:sz w:val="20"/>
                <w:szCs w:val="20"/>
              </w:rPr>
              <w:t>3968</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八、教学实施保障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一</w:t>
      </w:r>
      <w:r>
        <w:rPr>
          <w:rFonts w:hint="eastAsia" w:ascii="楷体" w:hAnsi="楷体" w:eastAsia="楷体" w:cs="楷体"/>
          <w:b/>
          <w:bCs/>
          <w:sz w:val="24"/>
          <w:szCs w:val="24"/>
        </w:rPr>
        <w:t>）师资队伍</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1、专业带头人基本要求                                    </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（1）知识、能力要求</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①具备大学本科以上学历，</w:t>
      </w:r>
      <w:r>
        <w:rPr>
          <w:rFonts w:hint="eastAsia" w:ascii="仿宋" w:hAnsi="仿宋" w:eastAsia="仿宋" w:cs="仿宋"/>
          <w:b w:val="0"/>
          <w:bCs/>
          <w:color w:val="auto"/>
          <w:sz w:val="24"/>
          <w:szCs w:val="24"/>
          <w:lang w:val="en-US" w:eastAsia="zh-Hans"/>
        </w:rPr>
        <w:t>口腔</w:t>
      </w:r>
      <w:r>
        <w:rPr>
          <w:rFonts w:hint="eastAsia" w:ascii="仿宋" w:hAnsi="仿宋" w:eastAsia="仿宋" w:cs="仿宋"/>
          <w:b w:val="0"/>
          <w:bCs/>
          <w:color w:val="auto"/>
          <w:sz w:val="24"/>
          <w:szCs w:val="24"/>
          <w:lang w:val="en-US" w:eastAsia="zh-CN"/>
        </w:rPr>
        <w:t>相关专业任教5年以上。</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②具备</w:t>
      </w:r>
      <w:r>
        <w:rPr>
          <w:rFonts w:hint="eastAsia" w:ascii="仿宋" w:hAnsi="仿宋" w:eastAsia="仿宋" w:cs="仿宋"/>
          <w:b w:val="0"/>
          <w:bCs/>
          <w:color w:val="auto"/>
          <w:sz w:val="24"/>
          <w:szCs w:val="24"/>
          <w:lang w:val="en-US" w:eastAsia="zh-Hans"/>
        </w:rPr>
        <w:t>口腔</w:t>
      </w:r>
      <w:r>
        <w:rPr>
          <w:rFonts w:hint="eastAsia" w:ascii="仿宋" w:hAnsi="仿宋" w:eastAsia="仿宋" w:cs="仿宋"/>
          <w:b w:val="0"/>
          <w:bCs/>
          <w:color w:val="auto"/>
          <w:sz w:val="24"/>
          <w:szCs w:val="24"/>
          <w:lang w:val="en-US" w:eastAsia="zh-CN"/>
        </w:rPr>
        <w:t>类职业资格证书或相关企业工作经历。</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③熟练掌握常用</w:t>
      </w:r>
      <w:r>
        <w:rPr>
          <w:rFonts w:hint="eastAsia" w:ascii="仿宋" w:hAnsi="仿宋" w:eastAsia="仿宋" w:cs="仿宋"/>
          <w:b w:val="0"/>
          <w:bCs/>
          <w:color w:val="auto"/>
          <w:sz w:val="24"/>
          <w:szCs w:val="24"/>
          <w:lang w:val="en-US" w:eastAsia="zh-Hans"/>
        </w:rPr>
        <w:t>口腔</w:t>
      </w:r>
      <w:r>
        <w:rPr>
          <w:rFonts w:hint="eastAsia" w:ascii="仿宋" w:hAnsi="仿宋" w:eastAsia="仿宋" w:cs="仿宋"/>
          <w:b w:val="0"/>
          <w:bCs/>
          <w:color w:val="auto"/>
          <w:sz w:val="24"/>
          <w:szCs w:val="24"/>
          <w:lang w:val="en-US" w:eastAsia="zh-CN"/>
        </w:rPr>
        <w:t>知识，具备较强的教研科研能力，能建立有特色的课堂教学模式，优化课堂教学结构，选用恰当的教学手段，教学方法独具一格。</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④熟悉</w:t>
      </w:r>
      <w:r>
        <w:rPr>
          <w:rFonts w:hint="eastAsia" w:ascii="仿宋" w:hAnsi="仿宋" w:eastAsia="仿宋" w:cs="仿宋"/>
          <w:b w:val="0"/>
          <w:bCs/>
          <w:color w:val="auto"/>
          <w:sz w:val="24"/>
          <w:szCs w:val="24"/>
          <w:lang w:val="en-US" w:eastAsia="zh-Hans"/>
        </w:rPr>
        <w:t>口腔修复</w:t>
      </w:r>
      <w:r>
        <w:rPr>
          <w:rFonts w:hint="eastAsia" w:ascii="仿宋" w:hAnsi="仿宋" w:eastAsia="仿宋" w:cs="仿宋"/>
          <w:b w:val="0"/>
          <w:bCs/>
          <w:color w:val="auto"/>
          <w:sz w:val="24"/>
          <w:szCs w:val="24"/>
          <w:lang w:val="en-US" w:eastAsia="zh-CN"/>
        </w:rPr>
        <w:t>专业建设体系、培养目标主要内容、岗位职业知识、职业能力、职业综合素质要求，实时掌握用人单位需求，为学生制定合理并符合用人单位人才需求的培养计划。</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⑤具有指导青年教师提高业务水平的能力，能组织、带动本专业教师开展教研活动。</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（2）思想政治要求</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①拥护党的领导，拥护社会主义，热爱祖国，热爱人民；热爱教育事业，具有良好的师德风范。</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②坚持原则，作风正派，热爱集体，团结同志，在教师中享有较高的威望。</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2．专业课教师（骨干教师）基本要求</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（1）知识、能力要求</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①具备大学本</w:t>
      </w:r>
      <w:r>
        <w:rPr>
          <w:rFonts w:hint="default"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Hans"/>
        </w:rPr>
        <w:t>专</w:t>
      </w:r>
      <w:r>
        <w:rPr>
          <w:rFonts w:hint="eastAsia" w:ascii="仿宋" w:hAnsi="仿宋" w:eastAsia="仿宋" w:cs="仿宋"/>
          <w:b w:val="0"/>
          <w:bCs/>
          <w:color w:val="auto"/>
          <w:sz w:val="24"/>
          <w:szCs w:val="24"/>
          <w:lang w:val="en-US" w:eastAsia="zh-CN"/>
        </w:rPr>
        <w:t>科以上学历，具备教学能力。</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②具备</w:t>
      </w:r>
      <w:r>
        <w:rPr>
          <w:rFonts w:hint="eastAsia" w:ascii="仿宋" w:hAnsi="仿宋" w:eastAsia="仿宋" w:cs="仿宋"/>
          <w:b w:val="0"/>
          <w:bCs/>
          <w:color w:val="auto"/>
          <w:sz w:val="24"/>
          <w:szCs w:val="24"/>
          <w:lang w:val="en-US" w:eastAsia="zh-Hans"/>
        </w:rPr>
        <w:t>口腔</w:t>
      </w:r>
      <w:r>
        <w:rPr>
          <w:rFonts w:hint="eastAsia" w:ascii="仿宋" w:hAnsi="仿宋" w:eastAsia="仿宋" w:cs="仿宋"/>
          <w:b w:val="0"/>
          <w:bCs/>
          <w:color w:val="auto"/>
          <w:sz w:val="24"/>
          <w:szCs w:val="24"/>
          <w:lang w:val="en-US" w:eastAsia="zh-CN"/>
        </w:rPr>
        <w:t>类职业资格证书或相关企业工作经历。</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③熟练掌握常用</w:t>
      </w:r>
      <w:r>
        <w:rPr>
          <w:rFonts w:hint="eastAsia" w:ascii="仿宋" w:hAnsi="仿宋" w:eastAsia="仿宋" w:cs="仿宋"/>
          <w:b w:val="0"/>
          <w:bCs/>
          <w:color w:val="auto"/>
          <w:sz w:val="24"/>
          <w:szCs w:val="24"/>
          <w:lang w:val="en-US" w:eastAsia="zh-Hans"/>
        </w:rPr>
        <w:t>口腔</w:t>
      </w:r>
      <w:r>
        <w:rPr>
          <w:rFonts w:hint="eastAsia" w:ascii="仿宋" w:hAnsi="仿宋" w:eastAsia="仿宋" w:cs="仿宋"/>
          <w:b w:val="0"/>
          <w:bCs/>
          <w:color w:val="auto"/>
          <w:sz w:val="24"/>
          <w:szCs w:val="24"/>
          <w:lang w:val="en-US" w:eastAsia="zh-CN"/>
        </w:rPr>
        <w:t>知识。</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④具备</w:t>
      </w:r>
      <w:r>
        <w:rPr>
          <w:rFonts w:hint="eastAsia" w:ascii="仿宋" w:hAnsi="仿宋" w:eastAsia="仿宋" w:cs="仿宋"/>
          <w:b w:val="0"/>
          <w:bCs/>
          <w:color w:val="auto"/>
          <w:sz w:val="24"/>
          <w:szCs w:val="24"/>
          <w:lang w:val="en-US" w:eastAsia="zh-Hans"/>
        </w:rPr>
        <w:t>口腔修复</w:t>
      </w:r>
      <w:r>
        <w:rPr>
          <w:rFonts w:hint="eastAsia" w:ascii="仿宋" w:hAnsi="仿宋" w:eastAsia="仿宋" w:cs="仿宋"/>
          <w:b w:val="0"/>
          <w:bCs/>
          <w:color w:val="auto"/>
          <w:sz w:val="24"/>
          <w:szCs w:val="24"/>
          <w:lang w:val="en-US" w:eastAsia="zh-CN"/>
        </w:rPr>
        <w:t>实践能力，能独立承担1-2门行业基本能力课程或能力拓展课程，其中骨干型教师能独立承担1-2门岗位专项能力课程。</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⑤具有指导学生参加</w:t>
      </w:r>
      <w:r>
        <w:rPr>
          <w:rFonts w:hint="eastAsia" w:ascii="仿宋" w:hAnsi="仿宋" w:eastAsia="仿宋" w:cs="仿宋"/>
          <w:b w:val="0"/>
          <w:bCs/>
          <w:color w:val="auto"/>
          <w:sz w:val="24"/>
          <w:szCs w:val="24"/>
          <w:lang w:val="en-US" w:eastAsia="zh-Hans"/>
        </w:rPr>
        <w:t>口腔修复</w:t>
      </w:r>
      <w:r>
        <w:rPr>
          <w:rFonts w:hint="eastAsia" w:ascii="仿宋" w:hAnsi="仿宋" w:eastAsia="仿宋" w:cs="仿宋"/>
          <w:b w:val="0"/>
          <w:bCs/>
          <w:color w:val="auto"/>
          <w:sz w:val="24"/>
          <w:szCs w:val="24"/>
          <w:lang w:val="en-US" w:eastAsia="zh-CN"/>
        </w:rPr>
        <w:t>技能大赛的能力。</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（2）素质要求</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①拥护党的领导，拥护社会主义，热爱祖国，热爱人民；热爱教育事业，具有良好的师德风范。</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②掌握教育学理论，具备在教学中实施行动导向教学法的能力，灵活运用案例及项目教学法和任务驱动等方法实施课程教学。</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③具有教学设计能力、课堂教学能力、指导学生的能力等较高的教学技能。</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④具备一定的科研素养，特别是航空类专业方面研究的素养。</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⑤具备提高自身专业素质的能力，适应航空服务的快速发展。</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⑥具有较强的敬业精神，具有强烈的职业光荣感、历史使命感和社会责任感，爱岗敬业，忠于职守，乐于奉献。</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3、校外兼职教师基本要求                                                                        </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（1）热心教育事业，责任心强，善于沟通。</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（2）从事</w:t>
      </w:r>
      <w:r>
        <w:rPr>
          <w:rFonts w:hint="eastAsia" w:ascii="仿宋" w:hAnsi="仿宋" w:eastAsia="仿宋" w:cs="仿宋"/>
          <w:b w:val="0"/>
          <w:bCs/>
          <w:color w:val="auto"/>
          <w:sz w:val="24"/>
          <w:szCs w:val="24"/>
          <w:lang w:val="en-US" w:eastAsia="zh-Hans"/>
        </w:rPr>
        <w:t>口腔修复</w:t>
      </w:r>
      <w:r>
        <w:rPr>
          <w:rFonts w:hint="eastAsia" w:ascii="仿宋" w:hAnsi="仿宋" w:eastAsia="仿宋" w:cs="仿宋"/>
          <w:b w:val="0"/>
          <w:bCs/>
          <w:color w:val="auto"/>
          <w:sz w:val="24"/>
          <w:szCs w:val="24"/>
          <w:lang w:val="en-US" w:eastAsia="zh-CN"/>
        </w:rPr>
        <w:t>相关工作两年以上。</w:t>
      </w:r>
    </w:p>
    <w:p>
      <w:pPr>
        <w:numPr>
          <w:ilvl w:val="0"/>
          <w:numId w:val="0"/>
        </w:numPr>
        <w:spacing w:line="44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（3）具有一定的教学能力，通过专业教学能力测试。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（二）教学设施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教学条件应满足本专业人才培养实施需要，达到《中等职</w:t>
      </w:r>
      <w:r>
        <w:rPr>
          <w:rFonts w:hint="eastAsia" w:ascii="仿宋" w:hAnsi="仿宋" w:eastAsia="仿宋" w:cs="仿宋"/>
          <w:color w:val="auto"/>
          <w:sz w:val="24"/>
          <w:szCs w:val="24"/>
        </w:rPr>
        <w:t>业学校</w:t>
      </w:r>
      <w:r>
        <w:rPr>
          <w:rFonts w:hint="eastAsia" w:ascii="仿宋" w:hAnsi="仿宋" w:eastAsia="仿宋" w:cs="仿宋"/>
          <w:color w:val="auto"/>
          <w:sz w:val="24"/>
          <w:szCs w:val="24"/>
          <w:lang w:val="en-US" w:eastAsia="zh-Hans"/>
        </w:rPr>
        <w:t>航空服务</w:t>
      </w:r>
      <w:r>
        <w:rPr>
          <w:rFonts w:hint="eastAsia" w:ascii="仿宋" w:hAnsi="仿宋" w:eastAsia="仿宋" w:cs="仿宋"/>
          <w:color w:val="auto"/>
          <w:sz w:val="24"/>
          <w:szCs w:val="24"/>
        </w:rPr>
        <w:t>专</w:t>
      </w:r>
      <w:r>
        <w:rPr>
          <w:rFonts w:hint="eastAsia" w:ascii="仿宋" w:hAnsi="仿宋" w:eastAsia="仿宋" w:cs="仿宋"/>
          <w:sz w:val="24"/>
          <w:szCs w:val="24"/>
        </w:rPr>
        <w:t>业教学标准（试行）》的有关专业实训教学条件建设标准（仪器设备配备规范）要求以上。信息化条件保障应能满足专业建设、教学管理、信息化教学和学生自主学习需要。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1.专业教室基本条件：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要求配备黑（白）板、多媒体计算机、投影设备、音响设备，互联网接 入环境，并具有网络安全防护措施。安装应急照明装置并保持良好状态，符合紧急疏散要求、标志明显、保持逃生通道畅通无阻。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FF0000"/>
          <w:sz w:val="24"/>
          <w:szCs w:val="24"/>
          <w:lang w:eastAsia="zh-CN"/>
        </w:rPr>
      </w:pPr>
      <w:r>
        <w:rPr>
          <w:rFonts w:hint="eastAsia" w:ascii="仿宋" w:hAnsi="仿宋" w:eastAsia="仿宋" w:cs="仿宋"/>
          <w:sz w:val="24"/>
          <w:szCs w:val="24"/>
        </w:rPr>
        <w:t>2.校内实训室基本要求</w:t>
      </w:r>
      <w:r>
        <w:rPr>
          <w:rFonts w:hint="default"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表4-1校内实训室需求</w:t>
      </w:r>
    </w:p>
    <w:tbl>
      <w:tblPr>
        <w:tblStyle w:val="4"/>
        <w:tblW w:w="9638" w:type="dxa"/>
        <w:jc w:val="center"/>
        <w:tblLayout w:type="fixed"/>
        <w:tblCellMar>
          <w:top w:w="0" w:type="dxa"/>
          <w:left w:w="108" w:type="dxa"/>
          <w:bottom w:w="0" w:type="dxa"/>
          <w:right w:w="108" w:type="dxa"/>
        </w:tblCellMar>
      </w:tblPr>
      <w:tblGrid>
        <w:gridCol w:w="1267"/>
        <w:gridCol w:w="1838"/>
        <w:gridCol w:w="3326"/>
        <w:gridCol w:w="3207"/>
      </w:tblGrid>
      <w:tr>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实训室名称</w:t>
            </w:r>
          </w:p>
        </w:tc>
        <w:tc>
          <w:tcPr>
            <w:tcW w:w="65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主要工具和设施设备</w:t>
            </w:r>
          </w:p>
        </w:tc>
      </w:tr>
      <w:tr>
        <w:trPr>
          <w:trHeight w:val="40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模型制作实训室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真空搅拌机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振荡器</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石膏修整机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舌侧修整机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植钉机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模型分割锯</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把 /5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微型打磨机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/2 生组</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蜡型（熔模）制作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电蜡刀</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/2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熔蜡器</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/5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蜡刀、雕刀</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套 /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乙醇灯</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只 /2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生理 架</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1台/生</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蜡型厚薄卡尺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/5 生组</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包埋铸造实训室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真空搅拌机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振荡器</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铸圈及成型座</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套 /5 生</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茂福炉</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高频离心铸造机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 实训室</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打磨抛光实训室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金属卡尺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把 /5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喷砂机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高速切割机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微型打磨机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/2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电解抛光机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瓷修复实训室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超声波振荡器</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瓷粉调拌盒</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1个/生</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筑瓷工具套装</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套 /2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烤瓷炉</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止血钳</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1把/生</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比色板</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 具 / 实训室</w:t>
            </w:r>
          </w:p>
        </w:tc>
      </w:tr>
      <w:tr>
        <w:trPr>
          <w:trHeight w:val="3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排牙充胶实训室</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微型打磨机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/2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压榨器</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/5 生组</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煮牙盒</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1具/生</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石膏修整机</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台 / 实训室</w:t>
            </w:r>
          </w:p>
        </w:tc>
      </w:tr>
      <w:tr>
        <w:trPr>
          <w:trHeight w:val="3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水浴加热装置</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台 / 实训室</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校外实训基地基本信息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rPr>
        <w:t>校外实训基地</w:t>
      </w:r>
      <w:r>
        <w:rPr>
          <w:rFonts w:hint="eastAsia" w:ascii="仿宋" w:hAnsi="仿宋" w:eastAsia="仿宋" w:cs="仿宋"/>
          <w:sz w:val="24"/>
          <w:szCs w:val="24"/>
          <w:lang w:val="en-US" w:eastAsia="zh-CN"/>
        </w:rPr>
        <w:t>设立在安徽大江登特口腔基地，拥有</w:t>
      </w:r>
      <w:r>
        <w:rPr>
          <w:rFonts w:hint="eastAsia" w:ascii="仿宋" w:hAnsi="仿宋" w:eastAsia="仿宋" w:cs="仿宋"/>
          <w:sz w:val="24"/>
          <w:szCs w:val="24"/>
        </w:rPr>
        <w:t>口腔医学综合实训室、标准头模室、义齿加工</w:t>
      </w:r>
      <w:r>
        <w:rPr>
          <w:rFonts w:hint="eastAsia" w:ascii="仿宋" w:hAnsi="仿宋" w:eastAsia="仿宋" w:cs="仿宋"/>
          <w:sz w:val="24"/>
          <w:szCs w:val="24"/>
          <w:lang w:val="en-US" w:eastAsia="zh-CN"/>
        </w:rPr>
        <w:t>实训室、口腔</w:t>
      </w:r>
      <w:r>
        <w:rPr>
          <w:rFonts w:hint="eastAsia" w:ascii="仿宋" w:hAnsi="仿宋" w:eastAsia="仿宋" w:cs="仿宋"/>
          <w:sz w:val="24"/>
          <w:szCs w:val="24"/>
        </w:rPr>
        <w:t>数字化实训室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主要设备有</w:t>
      </w:r>
      <w:r>
        <w:rPr>
          <w:rFonts w:hint="eastAsia" w:ascii="仿宋" w:hAnsi="仿宋" w:eastAsia="仿宋" w:cs="仿宋"/>
          <w:sz w:val="24"/>
          <w:szCs w:val="24"/>
        </w:rPr>
        <w:t>模拟实习系统/高级仿头模</w:t>
      </w:r>
      <w:r>
        <w:rPr>
          <w:rFonts w:hint="default" w:ascii="仿宋" w:hAnsi="仿宋" w:eastAsia="仿宋" w:cs="仿宋"/>
          <w:sz w:val="24"/>
          <w:szCs w:val="24"/>
        </w:rPr>
        <w:t>24</w:t>
      </w:r>
      <w:r>
        <w:rPr>
          <w:rFonts w:hint="eastAsia" w:ascii="仿宋" w:hAnsi="仿宋" w:eastAsia="仿宋" w:cs="仿宋"/>
          <w:sz w:val="24"/>
          <w:szCs w:val="24"/>
        </w:rPr>
        <w:t>套（包含</w:t>
      </w:r>
      <w:r>
        <w:rPr>
          <w:rFonts w:hint="default" w:ascii="仿宋" w:hAnsi="仿宋" w:eastAsia="仿宋" w:cs="仿宋"/>
          <w:sz w:val="24"/>
          <w:szCs w:val="24"/>
        </w:rPr>
        <w:t>24</w:t>
      </w:r>
      <w:r>
        <w:rPr>
          <w:rFonts w:hint="eastAsia" w:ascii="仿宋" w:hAnsi="仿宋" w:eastAsia="仿宋" w:cs="仿宋"/>
          <w:sz w:val="24"/>
          <w:szCs w:val="24"/>
        </w:rPr>
        <w:t>台曲面显示器）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牙科综合治疗椅</w:t>
      </w:r>
      <w:r>
        <w:rPr>
          <w:rFonts w:hint="default" w:ascii="仿宋" w:hAnsi="仿宋" w:eastAsia="仿宋" w:cs="仿宋"/>
          <w:sz w:val="24"/>
          <w:szCs w:val="24"/>
          <w:lang w:eastAsia="zh-CN"/>
        </w:rPr>
        <w:t>5</w:t>
      </w:r>
      <w:r>
        <w:rPr>
          <w:rFonts w:hint="eastAsia" w:ascii="仿宋" w:hAnsi="仿宋" w:eastAsia="仿宋" w:cs="仿宋"/>
          <w:sz w:val="24"/>
          <w:szCs w:val="24"/>
          <w:lang w:val="en-US" w:eastAsia="zh-CN"/>
        </w:rPr>
        <w:t>台、</w:t>
      </w:r>
      <w:r>
        <w:rPr>
          <w:rFonts w:hint="eastAsia" w:ascii="仿宋" w:hAnsi="仿宋" w:eastAsia="仿宋" w:cs="仿宋"/>
          <w:sz w:val="24"/>
          <w:szCs w:val="24"/>
        </w:rPr>
        <w:t>口腔CAD设计用电脑</w:t>
      </w:r>
      <w:r>
        <w:rPr>
          <w:rFonts w:hint="default" w:ascii="仿宋" w:hAnsi="仿宋" w:eastAsia="仿宋" w:cs="仿宋"/>
          <w:sz w:val="24"/>
          <w:szCs w:val="24"/>
        </w:rPr>
        <w:t>40</w:t>
      </w:r>
      <w:r>
        <w:rPr>
          <w:rFonts w:hint="eastAsia" w:ascii="仿宋" w:hAnsi="仿宋" w:eastAsia="仿宋" w:cs="仿宋"/>
          <w:sz w:val="24"/>
          <w:szCs w:val="24"/>
        </w:rPr>
        <w:t>台、桌面扫描系统</w:t>
      </w:r>
      <w:r>
        <w:rPr>
          <w:rFonts w:hint="default" w:ascii="仿宋" w:hAnsi="仿宋" w:eastAsia="仿宋" w:cs="仿宋"/>
          <w:sz w:val="24"/>
          <w:szCs w:val="24"/>
        </w:rPr>
        <w:t>7</w:t>
      </w:r>
      <w:r>
        <w:rPr>
          <w:rFonts w:hint="eastAsia" w:ascii="仿宋" w:hAnsi="仿宋" w:eastAsia="仿宋" w:cs="仿宋"/>
          <w:sz w:val="24"/>
          <w:szCs w:val="24"/>
        </w:rPr>
        <w:t>台、烤瓷炉</w:t>
      </w:r>
      <w:r>
        <w:rPr>
          <w:rFonts w:hint="default" w:ascii="仿宋" w:hAnsi="仿宋" w:eastAsia="仿宋" w:cs="仿宋"/>
          <w:sz w:val="24"/>
          <w:szCs w:val="24"/>
        </w:rPr>
        <w:t>7</w:t>
      </w:r>
      <w:r>
        <w:rPr>
          <w:rFonts w:hint="eastAsia" w:ascii="仿宋" w:hAnsi="仿宋" w:eastAsia="仿宋" w:cs="仿宋"/>
          <w:sz w:val="24"/>
          <w:szCs w:val="24"/>
        </w:rPr>
        <w:t>台、3D打印机</w:t>
      </w:r>
      <w:r>
        <w:rPr>
          <w:rFonts w:hint="default" w:ascii="仿宋" w:hAnsi="仿宋" w:eastAsia="仿宋" w:cs="仿宋"/>
          <w:sz w:val="24"/>
          <w:szCs w:val="24"/>
        </w:rPr>
        <w:t>7</w:t>
      </w:r>
      <w:r>
        <w:rPr>
          <w:rFonts w:hint="eastAsia" w:ascii="仿宋" w:hAnsi="仿宋" w:eastAsia="仿宋" w:cs="仿宋"/>
          <w:sz w:val="24"/>
          <w:szCs w:val="24"/>
        </w:rPr>
        <w:t>台、数控车床</w:t>
      </w:r>
      <w:r>
        <w:rPr>
          <w:rFonts w:hint="default" w:ascii="仿宋" w:hAnsi="仿宋" w:eastAsia="仿宋" w:cs="仿宋"/>
          <w:sz w:val="24"/>
          <w:szCs w:val="24"/>
        </w:rPr>
        <w:t>8</w:t>
      </w:r>
      <w:r>
        <w:rPr>
          <w:rFonts w:hint="eastAsia" w:ascii="仿宋" w:hAnsi="仿宋" w:eastAsia="仿宋" w:cs="仿宋"/>
          <w:sz w:val="24"/>
          <w:szCs w:val="24"/>
        </w:rPr>
        <w:t>台及氧化锆烧结炉等</w:t>
      </w:r>
      <w:r>
        <w:rPr>
          <w:rFonts w:hint="eastAsia" w:ascii="仿宋" w:hAnsi="仿宋" w:eastAsia="仿宋" w:cs="仿宋"/>
          <w:sz w:val="24"/>
          <w:szCs w:val="24"/>
          <w:lang w:val="en-US" w:eastAsia="zh-CN"/>
        </w:rPr>
        <w:t>若干</w:t>
      </w:r>
      <w:r>
        <w:rPr>
          <w:rFonts w:hint="eastAsia" w:ascii="仿宋" w:hAnsi="仿宋" w:eastAsia="仿宋" w:cs="仿宋"/>
          <w:sz w:val="24"/>
          <w:szCs w:val="24"/>
        </w:rPr>
        <w:t>相关义齿加工仪器设备。</w:t>
      </w:r>
      <w:r>
        <w:rPr>
          <w:rFonts w:hint="eastAsia" w:ascii="仿宋" w:hAnsi="仿宋" w:eastAsia="仿宋" w:cs="仿宋"/>
          <w:sz w:val="24"/>
          <w:szCs w:val="24"/>
          <w:lang w:val="en-US" w:eastAsia="zh-CN"/>
        </w:rPr>
        <w:t>另外，依托铜陵牙都科创园、吴恒忠</w:t>
      </w:r>
      <w:r>
        <w:rPr>
          <w:rFonts w:hint="eastAsia" w:ascii="仿宋" w:hAnsi="仿宋" w:eastAsia="仿宋" w:cs="仿宋"/>
          <w:color w:val="auto"/>
          <w:sz w:val="24"/>
          <w:szCs w:val="24"/>
          <w:lang w:val="en-US" w:eastAsia="zh-CN"/>
        </w:rPr>
        <w:t>口腔诊所、渡江口腔医院等实训实习单位，</w:t>
      </w:r>
      <w:r>
        <w:rPr>
          <w:rFonts w:hint="eastAsia" w:ascii="仿宋" w:hAnsi="仿宋" w:eastAsia="仿宋" w:cs="仿宋"/>
          <w:color w:val="auto"/>
          <w:sz w:val="24"/>
          <w:szCs w:val="24"/>
        </w:rPr>
        <w:t>满足教学见习项目、综合实训和毕业实习教学大纲的要求。与校外实训基地签订协议书，明确各自管理职责，设置校外实训管理部门，配备专职管理人员，对校外实训基地及实训过程进行管理。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教学资源建设内容包括教材编写、学习情境设计、实训项目设计、实训指导书编写、</w:t>
      </w:r>
      <w:r>
        <w:rPr>
          <w:rFonts w:hint="eastAsia" w:ascii="仿宋" w:hAnsi="仿宋" w:eastAsia="仿宋" w:cs="仿宋"/>
          <w:color w:val="auto"/>
          <w:sz w:val="24"/>
          <w:szCs w:val="24"/>
          <w:lang w:val="en-US" w:eastAsia="zh-Hans"/>
        </w:rPr>
        <w:t>口腔修复</w:t>
      </w:r>
      <w:r>
        <w:rPr>
          <w:rFonts w:hint="eastAsia" w:ascii="仿宋" w:hAnsi="仿宋" w:eastAsia="仿宋" w:cs="仿宋"/>
          <w:color w:val="auto"/>
          <w:sz w:val="24"/>
          <w:szCs w:val="24"/>
        </w:rPr>
        <w:t>资料收集和整理、教学课件制作、仿真实训软件选购、专业教学资源库建设等。为方便教师教学及学生学习，专业可结合学校信息化建设发展，依托自身和企业力量，共同开发实训指导教材、教学课件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教材选用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材内容应体现先进性、通用性、实用性。要将本专业的新技术、新设备及时纳入教材，使教材更贴近本专业的发展和实际需要。将本专业不同课程内容的教学活动分解成若干典型的学习模块，按完成工作的需要和岗位操作规程，结合职业资格标准，组织教材内容。引入</w:t>
      </w:r>
      <w:r>
        <w:rPr>
          <w:rFonts w:hint="eastAsia" w:ascii="仿宋" w:hAnsi="仿宋" w:eastAsia="仿宋" w:cs="仿宋"/>
          <w:color w:val="auto"/>
          <w:sz w:val="24"/>
          <w:szCs w:val="24"/>
          <w:lang w:val="en-US" w:eastAsia="zh-Hans"/>
        </w:rPr>
        <w:t>口腔修复</w:t>
      </w:r>
      <w:r>
        <w:rPr>
          <w:rFonts w:hint="eastAsia" w:ascii="仿宋" w:hAnsi="仿宋" w:eastAsia="仿宋" w:cs="仿宋"/>
          <w:color w:val="auto"/>
          <w:sz w:val="24"/>
          <w:szCs w:val="24"/>
        </w:rPr>
        <w:t>专业所需技能所必须的理论知识，增加实践实操内容，强调理论在实践过程中的应用。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国家规定选用优质教材，坚决反对和杜绝使用盗版教材、盗印教材，绝不侵犯教材著作权。我校高度重视教材使用及管理工作，并成立教材管理委员会，出台教材教辅管理制度，根据教育部和省教育厅、人社厅有关文件要求，优先推广使用国家规划教材。按照教育部的规定及要求，保证公共基础课及思政课的课时，思政课及公共基础课严格按要求采用国家统一规划教材。专业课教材由本学部专业教师，教研人员，行业专家等组成专业课教材选用小组，由部长任组长、教学副部长任副组长，组织领导小组健全专业教材选用制度，优先从国家教材目录中选用教材，根据</w:t>
      </w:r>
      <w:r>
        <w:rPr>
          <w:rFonts w:hint="eastAsia" w:ascii="仿宋" w:hAnsi="仿宋" w:eastAsia="仿宋" w:cs="仿宋"/>
          <w:color w:val="auto"/>
          <w:sz w:val="24"/>
          <w:szCs w:val="24"/>
          <w:lang w:val="en-US" w:eastAsia="zh-Hans"/>
        </w:rPr>
        <w:t>口腔修复</w:t>
      </w:r>
      <w:r>
        <w:rPr>
          <w:rFonts w:hint="eastAsia" w:ascii="仿宋" w:hAnsi="仿宋" w:eastAsia="仿宋" w:cs="仿宋"/>
          <w:color w:val="auto"/>
          <w:sz w:val="24"/>
          <w:szCs w:val="24"/>
        </w:rPr>
        <w:t>行业发展，支持鼓励专业教师编制符合专业需求的校本教材。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图书文献配备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图书文献配备能满足人才培养、专业建设、教科研等工作需要，方便师生查询、借阅。图书文献配备能满足人才培养、专业建设、教科研等工作的需要，方便师生查询、借阅。专业类图书、文献包括</w:t>
      </w:r>
      <w:r>
        <w:rPr>
          <w:rFonts w:hint="eastAsia" w:ascii="仿宋" w:hAnsi="仿宋" w:eastAsia="仿宋" w:cs="仿宋"/>
          <w:color w:val="auto"/>
          <w:sz w:val="24"/>
          <w:szCs w:val="24"/>
          <w:lang w:val="en-US" w:eastAsia="zh-Hans"/>
        </w:rPr>
        <w:t>口腔修复工业</w:t>
      </w:r>
      <w:r>
        <w:rPr>
          <w:rFonts w:hint="eastAsia" w:ascii="仿宋" w:hAnsi="仿宋" w:eastAsia="仿宋" w:cs="仿宋"/>
          <w:color w:val="auto"/>
          <w:sz w:val="24"/>
          <w:szCs w:val="24"/>
        </w:rPr>
        <w:t>专业方面的期刊、文献，维修手册等；为满足学生全面发展需求，包括文学、科技、自然科学、职业发展、法律等类型图书及文献，实时更新图书文献资料。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3.数字教学资源配置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配备与本专业有关的音视频素材、教学课件、微课、数字化教学案例库、虚拟仿真软件、数字教材等专业教学资源库，应种类丰富、形式多样、使用便捷、动态更新，能满足教学要求，且在本区域处于领先水平，核心课程资源条件成熟时形成在线开放课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课程教育目标服从专业培养目标，课程教学内容符合岗位工作标准，课程教学方法满足课程教学内容，课程教学手段服务于课程教学方法，素质教育贯穿于整个教育教学过程的原则，将课程内容分成不同的知识及能力模块，各模块按其内容对专业培养目标的支撑，分成认识、理解、操作、拓展等不同层次，应采用先进的教学模式，优化教学过程，加强实践教学，突出专业技能的项目训练，体现单项操作与综合实操相结合、理实一体教学不断统的特点。推广行动导向的教育教学模式，调整教学内容，在课程开发与教学实施上强调任务（岗位）导向，以工作任务为主线确定课程结构，以职业岗位最新标准和要求确定课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在教学过程中，坚持“做、学、教”合一的原则，通过“理实一体化，</w:t>
      </w:r>
      <w:r>
        <w:rPr>
          <w:rFonts w:hint="eastAsia" w:ascii="仿宋" w:hAnsi="仿宋" w:eastAsia="仿宋" w:cs="仿宋"/>
          <w:color w:val="auto"/>
          <w:sz w:val="24"/>
          <w:szCs w:val="24"/>
          <w:lang w:val="en-US" w:eastAsia="zh-CN"/>
        </w:rPr>
        <w:t>教</w:t>
      </w:r>
      <w:r>
        <w:rPr>
          <w:rFonts w:hint="eastAsia" w:ascii="仿宋" w:hAnsi="仿宋" w:eastAsia="仿宋" w:cs="仿宋"/>
          <w:color w:val="auto"/>
          <w:sz w:val="24"/>
          <w:szCs w:val="24"/>
        </w:rPr>
        <w:t>学做一体化”的教学方法配套完整的教学教具实施教学，采用现场教学、现场示范教学、电化教学、讨论式教学、案例教学、项目驱动式教学和任务式教学等方法，灵活设计专业综合实训项目。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（五）学习评价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评价方面实行过程评价和考核评价相结合。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评价应体现评价主体、评价方式、评价过程的多元化。要校内校外评价结合，学业考核与职业技能鉴定结合，教师评价、学生互评与自我评价相结合，过程性评价与结果性评价相结合。创新评价方式方法，既要关注学生对知识的理解和技能的掌握，更要关注运用知识在实践中解决实际问题的能力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要注重职业道德教育，构建学生、教师、家长、企业、社会广泛参与的学生综合素质评价体系；以过程性评价为导向，将学生日常学习态度、学习表现、知识技能运用纳入评价范围，形成日常学业水平测试、技能抽查等学业评价为主、期末考试考查为辅的过程性学业评价体系；以职业资格鉴定基础，将学业考核与职业资格鉴定相结合，允许用职业资格证或技能等级证替代一定的专业课程成绩；以企业职业岗位标准为参考依据，形成学校与企业专家共同参与学生企业顶岗实习环节的评价机制。要结合专业教学实际，确定期末考试考查课程，按学业成绩管理统一规定，制定各门课程成绩评价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（六）质量管理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校和专业部应建立常态化教学质量诊断与改进机制，健全专业教学质量监控管理制度，完善课堂教学、教学评价、实习实训、毕业设计以及专业调研、人才培养方案更新、资源建设、队伍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教学管理是学校的中心工作，教学质量管理是教学管理的核心。为实现教学管理的程序化、规范化、科学化、信息化，教学管理部门要依据本专业人才培养方案，规范制定本专业实施性教学计划，并加强对各专业实施性教学计划执行的管理监督，严格按教学计划开设课程，统一公共基础课的教学要求，加强对教学过程的质量监控。实施中职公共基础课学生学业质量评价，积极开展技能抽查、学业水平测试、综合素质评价和毕业生质量跟踪调查等。要按照教育部关于建立职业院校教学工作诊断与改进制度的有关要求,全面开展教学诊断与改进工作，不断完善内部质量保证制度体系和运行机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学校积极推进学历证和职业资格证“双证书”制度。开展校企联合招生、联合培养的现代学徒制试点，推进校企一体化育人。学生校外实习要认真落实《中等职业学校学生实习管理办法》的规定和要求，制定本专业的学生实习管理实施办法，加强监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学校和专业部应完善教学管理机制，加强日常教学组织运行与管理，建立健全巡课、听课、评教、评学等制度。任课教师听课评课不少于10次；每学期应保证有20%教师开展公开课、示范课教学活动，新教师必须严格实行学“青蓝工程”，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5.学校应建立毕业生跟踪反馈机制及社会评价机制，并对生源情况、在校生学业水平、毕业生就业情况等进行分析，定期评价人才培养质量和培养目标达成情况，编制专业教学质量年度报告。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九、毕业要求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毕业要求是学生通过规定年限的学习，修满专业人才培养方案所规定的学分，达到本专业人才培养目标和培养规格的要求。本专业毕业要求为毕业学分不少于</w:t>
      </w:r>
      <w:r>
        <w:rPr>
          <w:rFonts w:hint="default" w:ascii="仿宋" w:hAnsi="仿宋" w:eastAsia="仿宋" w:cs="仿宋"/>
          <w:color w:val="auto"/>
          <w:sz w:val="24"/>
          <w:szCs w:val="24"/>
          <w:lang w:eastAsia="zh-CN"/>
        </w:rPr>
        <w:t>176</w:t>
      </w:r>
      <w:r>
        <w:rPr>
          <w:rFonts w:hint="default" w:ascii="仿宋" w:hAnsi="仿宋" w:eastAsia="仿宋" w:cs="仿宋"/>
          <w:color w:val="auto"/>
          <w:sz w:val="24"/>
          <w:szCs w:val="24"/>
          <w:lang w:val="en-US" w:eastAsia="zh-CN"/>
        </w:rPr>
        <w:t>学分，在校期间专业主干及核心课程必须达到及格要求。技能考核合格。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十、附录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附录1：教学总体安排表</w:t>
      </w:r>
    </w:p>
    <w:tbl>
      <w:tblPr>
        <w:tblW w:w="105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969"/>
        <w:gridCol w:w="964"/>
        <w:gridCol w:w="2182"/>
        <w:gridCol w:w="536"/>
        <w:gridCol w:w="536"/>
        <w:gridCol w:w="536"/>
        <w:gridCol w:w="536"/>
        <w:gridCol w:w="536"/>
        <w:gridCol w:w="538"/>
        <w:gridCol w:w="618"/>
        <w:gridCol w:w="582"/>
        <w:gridCol w:w="600"/>
        <w:gridCol w:w="527"/>
        <w:gridCol w:w="896"/>
      </w:tblGrid>
      <w:tr>
        <w:trPr>
          <w:trHeight w:val="636" w:hRule="atLeast"/>
          <w:jc w:val="center"/>
        </w:trPr>
        <w:tc>
          <w:tcPr>
            <w:tcW w:w="10556" w:type="dxa"/>
            <w:gridSpan w:val="14"/>
            <w:tcBorders>
              <w:bottom w:val="nil"/>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default" w:ascii="黑体" w:hAnsi="宋体" w:eastAsia="黑体" w:cs="黑体"/>
                <w:b w:val="0"/>
                <w:bCs w:val="0"/>
                <w:i w:val="0"/>
                <w:iCs w:val="0"/>
                <w:color w:val="000000"/>
                <w:kern w:val="0"/>
                <w:sz w:val="21"/>
                <w:szCs w:val="21"/>
                <w:u w:val="none"/>
                <w:bdr w:val="none" w:color="auto" w:sz="0" w:space="0"/>
                <w:lang w:val="en-US" w:eastAsia="zh-CN" w:bidi="ar"/>
              </w:rPr>
              <w:t>口腔修复工艺专业（三年制）课程设置与教学进程表</w:t>
            </w: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课程模块</w:t>
            </w:r>
          </w:p>
        </w:tc>
        <w:tc>
          <w:tcPr>
            <w:tcW w:w="96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课程编码</w:t>
            </w:r>
          </w:p>
        </w:tc>
        <w:tc>
          <w:tcPr>
            <w:tcW w:w="2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具体科目</w:t>
            </w:r>
          </w:p>
        </w:tc>
        <w:tc>
          <w:tcPr>
            <w:tcW w:w="3218"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  期 分 布 和  周  学  时</w:t>
            </w:r>
          </w:p>
        </w:tc>
        <w:tc>
          <w:tcPr>
            <w:tcW w:w="61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总学时</w:t>
            </w:r>
          </w:p>
        </w:tc>
        <w:tc>
          <w:tcPr>
            <w:tcW w:w="58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总学分</w:t>
            </w:r>
          </w:p>
        </w:tc>
        <w:tc>
          <w:tcPr>
            <w:tcW w:w="6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考试</w:t>
            </w:r>
          </w:p>
        </w:tc>
        <w:tc>
          <w:tcPr>
            <w:tcW w:w="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考察</w:t>
            </w:r>
          </w:p>
        </w:tc>
        <w:tc>
          <w:tcPr>
            <w:tcW w:w="896" w:type="dxa"/>
            <w:vMerge w:val="restart"/>
            <w:tcBorders>
              <w:top w:val="single" w:color="000000" w:sz="4" w:space="0"/>
              <w:left w:val="single" w:color="000000" w:sz="4" w:space="0"/>
              <w:bottom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备注</w:t>
            </w: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5</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6</w:t>
            </w:r>
          </w:p>
        </w:tc>
        <w:tc>
          <w:tcPr>
            <w:tcW w:w="6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德育课程   体系</w:t>
            </w:r>
          </w:p>
        </w:tc>
        <w:tc>
          <w:tcPr>
            <w:tcW w:w="9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思想政治</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心理健康与职业生涯</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道德法律与生活</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中国特色社会主义</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哲学与人生</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公共基础</w:t>
            </w:r>
          </w:p>
        </w:tc>
        <w:tc>
          <w:tcPr>
            <w:tcW w:w="96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公共基础课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语文</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vMerge w:val="restart"/>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抽考评比科目</w:t>
            </w: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数学</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人文素养</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科学素养</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体育与健康</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14</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1480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专业基础课</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口腔生理学基础</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口腔正畸工艺技术</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口腔组织及病理学基础</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口腔工艺设备使用与养护</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服务心理学</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口腔材料学</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口腔护理技术</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口腔疾病概要</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口腔医学美学基础</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化学</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FF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FF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考前辅导（语数外）</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FF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专业理论课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口腔预防保健</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第二课堂</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专业实训课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牙体解剖与雕刻技术</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vMerge w:val="restart"/>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技能考</w:t>
            </w:r>
            <w:bookmarkStart w:id="14" w:name="_GoBack"/>
            <w:bookmarkEnd w:id="14"/>
            <w:r>
              <w:rPr>
                <w:rFonts w:hint="eastAsia" w:ascii="宋体" w:hAnsi="宋体" w:eastAsia="宋体" w:cs="宋体"/>
                <w:i w:val="0"/>
                <w:iCs w:val="0"/>
                <w:color w:val="000000"/>
                <w:kern w:val="0"/>
                <w:sz w:val="20"/>
                <w:szCs w:val="20"/>
                <w:u w:val="none"/>
                <w:bdr w:val="none" w:color="auto" w:sz="0" w:space="0"/>
                <w:lang w:val="en-US" w:eastAsia="zh-CN" w:bidi="ar"/>
              </w:rPr>
              <w:t>核  手册达标   考核</w:t>
            </w: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专业实训课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固定义齿修复工艺技术</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专业实训课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全口义齿修复工艺技术</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专业实训课</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可摘义齿修复工艺技术</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实践</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黑体" w:hAnsi="宋体" w:eastAsia="黑体" w:cs="黑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见习（周）</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黑体" w:hAnsi="宋体" w:eastAsia="黑体" w:cs="黑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实习（周）</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自习</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班会/校会</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黑体" w:hAnsi="宋体" w:eastAsia="黑体" w:cs="黑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黑体" w:hAnsi="宋体" w:eastAsia="黑体" w:cs="黑体"/>
                <w:i w:val="0"/>
                <w:iCs w:val="0"/>
                <w:color w:val="000000"/>
                <w:sz w:val="20"/>
                <w:szCs w:val="20"/>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FF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31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bdr w:val="none" w:color="auto" w:sz="0" w:space="0"/>
                <w:lang w:val="en-US" w:eastAsia="zh-CN" w:bidi="ar"/>
              </w:rPr>
              <w:t>应修学分小计</w:t>
            </w: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黑体" w:hAnsi="宋体" w:eastAsia="黑体" w:cs="黑体"/>
                <w:i w:val="0"/>
                <w:iCs w:val="0"/>
                <w:color w:val="000000"/>
                <w:sz w:val="20"/>
                <w:szCs w:val="20"/>
                <w:u w:val="none"/>
              </w:rPr>
            </w:pPr>
          </w:p>
        </w:tc>
        <w:tc>
          <w:tcPr>
            <w:tcW w:w="896" w:type="dxa"/>
            <w:tcBorders>
              <w:top w:val="single" w:color="000000" w:sz="4" w:space="0"/>
              <w:left w:val="single" w:color="000000" w:sz="4" w:space="0"/>
              <w:bottom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rPr>
          <w:trHeight w:val="363" w:hRule="atLeast"/>
          <w:jc w:val="center"/>
        </w:trPr>
        <w:tc>
          <w:tcPr>
            <w:tcW w:w="969" w:type="dxa"/>
            <w:tcBorders>
              <w:top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bdr w:val="none" w:color="auto" w:sz="0" w:space="0"/>
                <w:lang w:val="en-US" w:eastAsia="zh-CN" w:bidi="ar"/>
              </w:rPr>
              <w:t>合计</w:t>
            </w:r>
          </w:p>
        </w:tc>
        <w:tc>
          <w:tcPr>
            <w:tcW w:w="2182"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b/>
                <w:bCs/>
                <w:i w:val="0"/>
                <w:iCs w:val="0"/>
                <w:color w:val="000000"/>
                <w:sz w:val="20"/>
                <w:szCs w:val="20"/>
                <w:u w:val="none"/>
              </w:rPr>
            </w:pPr>
          </w:p>
        </w:tc>
        <w:tc>
          <w:tcPr>
            <w:tcW w:w="53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w:t>
            </w:r>
          </w:p>
        </w:tc>
        <w:tc>
          <w:tcPr>
            <w:tcW w:w="53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w:t>
            </w:r>
          </w:p>
        </w:tc>
        <w:tc>
          <w:tcPr>
            <w:tcW w:w="53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w:t>
            </w:r>
          </w:p>
        </w:tc>
        <w:tc>
          <w:tcPr>
            <w:tcW w:w="53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w:t>
            </w:r>
          </w:p>
        </w:tc>
        <w:tc>
          <w:tcPr>
            <w:tcW w:w="53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w:t>
            </w:r>
          </w:p>
        </w:tc>
        <w:tc>
          <w:tcPr>
            <w:tcW w:w="538"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w:t>
            </w:r>
          </w:p>
        </w:tc>
        <w:tc>
          <w:tcPr>
            <w:tcW w:w="618"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2920</w:t>
            </w:r>
          </w:p>
        </w:tc>
        <w:tc>
          <w:tcPr>
            <w:tcW w:w="582"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176</w:t>
            </w:r>
          </w:p>
        </w:tc>
        <w:tc>
          <w:tcPr>
            <w:tcW w:w="600" w:type="dxa"/>
            <w:tcBorders>
              <w:top w:val="single" w:color="000000" w:sz="4" w:space="0"/>
              <w:left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27" w:type="dxa"/>
            <w:tcBorders>
              <w:top w:val="single" w:color="000000" w:sz="4" w:space="0"/>
              <w:left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896" w:type="dxa"/>
            <w:tcBorders>
              <w:top w:val="single" w:color="000000" w:sz="4" w:space="0"/>
              <w:lef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附录2：编制依据</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1.习近平总书记就加快发展职业教育作出的重要批示（2014年6月）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2.习近平总书记在全国教育大会上的重要讲话（2018年9月）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3.习近平总书记在学校思想政治理论课教师座谈会上的重要讲话（2019年3月）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4.习近平总书记对职业教育工作作出重要指示（2021年4月13日）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5.孙春兰副总理关于办好新时代职业教育的重要讲话（2019年5月）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6.国家中长期教育改革和发展规划纲要（2010-2020年）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7.《国务院关于印发国家职业教育改革实施方案的通知》（国发（2019）4号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8.《中共中央国务院关于全面深化新时代教师队伍建设改革的意见》（2018年1月）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9.《国务院关于加快发展现代职业教育的决定》（国发（2014）19号）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10.《国务院办公厅关于深化高等学校创新创业教育改革的实施意见》（国办发（2015）36号）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11.《国务院关于推动创新创业高质量发展打造“双创”升级版的意见》（国发（2018）32号）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12.《国务院办公厅关于深化产教融合的若干意见》（国办发（2017）95号）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13.中共中央办公厅国务院院办公厅印发《关于推动现代职业教育高质量发展的意见》（2021.10.12）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14.教育部等六部门关于印发《职业学校校企合作促进办法》的通知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15.《国务院关于加快发展现代职业教育的决定》国发（2014）19号15.教育部关于印发《教育信息化2.0行动计划》的通知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16.教育部关于印发《中等职业学校政治、语文、历史课程标准全面落实立德树人根本任务》的通知（教育部（2020.02））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17.《教育部等八部门关于印发《职业学校学生实习管理规定》的通知》（教职成（2021）4号）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18.《教育部关于深化职业教育教学改革全面提高人才培养质量的若干意见》（教职成（2015）6号）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19.《教育部关于职业院校专业人才培养方案制订与实施工作的指导意见》</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20.中宣部、教育部《新时代学校思想政治理论课改革创新实施方案》（教材（2020）6号）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21.《教育部、安徽省人民政府关于整省推进职业教育一体化高质量发展加快技能安徽建设意见》</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22.《中等职业教育新旧专业对照表》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23.《职业教育专业目录（2021年）》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24.《中华人民共和国职业分类大典》</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25.《中华人民共和国职业教育法》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公文小标宋">
    <w:panose1 w:val="02000500000000000000"/>
    <w:charset w:val="86"/>
    <w:family w:val="auto"/>
    <w:pitch w:val="default"/>
    <w:sig w:usb0="00000000" w:usb1="00000000" w:usb2="00000000" w:usb3="00000000" w:csb0="00040000" w:csb1="00000000"/>
    <w:embedRegular r:id="rId1" w:fontKey="{90FC9C83-DDB4-21CA-EBA6-9F64A43731BC}"/>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简体">
    <w:altName w:val="方正仿宋_GBK"/>
    <w:panose1 w:val="0201060103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新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E37B1"/>
    <w:multiLevelType w:val="singleLevel"/>
    <w:tmpl w:val="A7BE37B1"/>
    <w:lvl w:ilvl="0" w:tentative="0">
      <w:start w:val="1"/>
      <w:numFmt w:val="chineseCounting"/>
      <w:suff w:val="nothing"/>
      <w:lvlText w:val="（%1）"/>
      <w:lvlJc w:val="left"/>
      <w:rPr>
        <w:rFonts w:hint="eastAsia"/>
      </w:rPr>
    </w:lvl>
  </w:abstractNum>
  <w:abstractNum w:abstractNumId="1">
    <w:nsid w:val="FFFD8F4E"/>
    <w:multiLevelType w:val="singleLevel"/>
    <w:tmpl w:val="FFFD8F4E"/>
    <w:lvl w:ilvl="0" w:tentative="0">
      <w:start w:val="3"/>
      <w:numFmt w:val="decimal"/>
      <w:lvlText w:val="%1."/>
      <w:lvlJc w:val="left"/>
      <w:pPr>
        <w:tabs>
          <w:tab w:val="left" w:pos="312"/>
        </w:tabs>
      </w:pPr>
    </w:lvl>
  </w:abstractNum>
  <w:abstractNum w:abstractNumId="2">
    <w:nsid w:val="09833EA5"/>
    <w:multiLevelType w:val="singleLevel"/>
    <w:tmpl w:val="09833EA5"/>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QzOTJkMTljYWVkZWI0YzEzODYyYmJkMjE2NjEifQ=="/>
  </w:docVars>
  <w:rsids>
    <w:rsidRoot w:val="226235AA"/>
    <w:rsid w:val="02C72207"/>
    <w:rsid w:val="0AE71698"/>
    <w:rsid w:val="11545D82"/>
    <w:rsid w:val="14755F67"/>
    <w:rsid w:val="1E9A4DCF"/>
    <w:rsid w:val="226235AA"/>
    <w:rsid w:val="2C26606D"/>
    <w:rsid w:val="2C3F0EDD"/>
    <w:rsid w:val="31D40319"/>
    <w:rsid w:val="472E3BD0"/>
    <w:rsid w:val="4BA206E8"/>
    <w:rsid w:val="4EBFAD40"/>
    <w:rsid w:val="4F0A0A7E"/>
    <w:rsid w:val="4F554DBC"/>
    <w:rsid w:val="54A454D1"/>
    <w:rsid w:val="5737B973"/>
    <w:rsid w:val="5BF37428"/>
    <w:rsid w:val="753F56B8"/>
    <w:rsid w:val="7BDFBC70"/>
    <w:rsid w:val="7FED8DC8"/>
    <w:rsid w:val="A3FEC774"/>
    <w:rsid w:val="A7372C90"/>
    <w:rsid w:val="B72D8754"/>
    <w:rsid w:val="BFDF0FD6"/>
    <w:rsid w:val="BFF6DC5E"/>
    <w:rsid w:val="BFFF39CC"/>
    <w:rsid w:val="D7586C47"/>
    <w:rsid w:val="FD4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00"/>
    </w:pPr>
    <w:rPr>
      <w:sz w:val="28"/>
      <w:szCs w:val="28"/>
    </w:rPr>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321" w:lineRule="exact"/>
    </w:pPr>
    <w:rPr>
      <w:rFonts w:ascii="宋体" w:hAnsi="宋体" w:eastAsia="宋体" w:cs="宋体"/>
      <w:sz w:val="20"/>
      <w:szCs w:val="2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after="100" w:line="343" w:lineRule="auto"/>
    </w:pPr>
    <w:rPr>
      <w:rFonts w:ascii="宋体" w:hAnsi="宋体" w:eastAsia="宋体" w:cs="宋体"/>
      <w:sz w:val="28"/>
      <w:szCs w:val="28"/>
      <w:u w:val="none"/>
      <w:shd w:val="clear" w:color="auto" w:fill="auto"/>
      <w:lang w:val="zh-TW" w:eastAsia="zh-TW" w:bidi="zh-TW"/>
    </w:rPr>
  </w:style>
  <w:style w:type="paragraph" w:customStyle="1" w:styleId="9">
    <w:name w:val="Table Paragraph"/>
    <w:basedOn w:val="1"/>
    <w:qFormat/>
    <w:uiPriority w:val="1"/>
  </w:style>
  <w:style w:type="character" w:customStyle="1" w:styleId="10">
    <w:name w:val="font11"/>
    <w:basedOn w:val="6"/>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5887</Words>
  <Characters>5978</Characters>
  <Lines>0</Lines>
  <Paragraphs>0</Paragraphs>
  <TotalTime>12</TotalTime>
  <ScaleCrop>false</ScaleCrop>
  <LinksUpToDate>false</LinksUpToDate>
  <CharactersWithSpaces>5989</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2022-12-07T14:39:00Z</dcterms:created>
  <dc:creator>wpp</dc:creator>
  <cp:lastModifiedBy>恬大恬</cp:lastModifiedBy>
  <dcterms:modified xsi:type="dcterms:W3CDTF">2023-07-01T12:09:15Z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DAF010A94ACC5D237C959F64853801A9_43</vt:lpwstr>
  </property>
</Properties>
</file>